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方正小标宋_GBK" w:hAnsi="方正小标宋_GBK" w:eastAsia="方正小标宋_GBK" w:cs="方正小标宋_GBK"/>
          <w:kern w:val="2"/>
          <w:sz w:val="36"/>
          <w:szCs w:val="36"/>
          <w:lang w:eastAsia="zh-CN"/>
        </w:rPr>
      </w:pPr>
      <w:r>
        <w:rPr>
          <w:rFonts w:hint="eastAsia" w:ascii="方正小标宋_GBK" w:hAnsi="方正小标宋_GBK" w:eastAsia="方正小标宋_GBK" w:cs="方正小标宋_GBK"/>
          <w:kern w:val="2"/>
          <w:sz w:val="36"/>
          <w:szCs w:val="36"/>
          <w:lang w:eastAsia="zh-CN"/>
        </w:rPr>
        <w:t>贵州省有机类肥料产品质量监督抽查实施细则</w:t>
      </w:r>
    </w:p>
    <w:p>
      <w:pPr>
        <w:spacing w:line="440" w:lineRule="exact"/>
        <w:jc w:val="center"/>
        <w:rPr>
          <w:rFonts w:ascii="楷体_GB2312" w:hAnsi="楷体_GB2312" w:eastAsia="楷体_GB2312" w:cs="楷体_GB2312"/>
          <w:color w:val="000000"/>
          <w:sz w:val="30"/>
          <w:szCs w:val="30"/>
          <w:lang w:eastAsia="zh-CN"/>
        </w:rPr>
      </w:pPr>
      <w:r>
        <w:rPr>
          <w:rFonts w:hint="eastAsia" w:ascii="楷体_GB2312" w:hAnsi="楷体_GB2312" w:eastAsia="楷体_GB2312" w:cs="楷体_GB2312"/>
          <w:color w:val="000000"/>
          <w:sz w:val="30"/>
          <w:szCs w:val="30"/>
          <w:lang w:eastAsia="zh-CN"/>
        </w:rPr>
        <w:t>（202</w:t>
      </w:r>
      <w:r>
        <w:rPr>
          <w:rFonts w:hint="eastAsia" w:ascii="楷体_GB2312" w:hAnsi="楷体_GB2312" w:eastAsia="楷体_GB2312" w:cs="楷体_GB2312"/>
          <w:color w:val="000000"/>
          <w:sz w:val="30"/>
          <w:szCs w:val="30"/>
          <w:lang w:val="en-US" w:eastAsia="zh-CN"/>
        </w:rPr>
        <w:t>6</w:t>
      </w:r>
      <w:bookmarkStart w:id="1" w:name="_GoBack"/>
      <w:bookmarkEnd w:id="1"/>
      <w:r>
        <w:rPr>
          <w:rFonts w:hint="eastAsia" w:ascii="楷体_GB2312" w:hAnsi="楷体_GB2312" w:eastAsia="楷体_GB2312" w:cs="楷体_GB2312"/>
          <w:color w:val="000000"/>
          <w:sz w:val="30"/>
          <w:szCs w:val="30"/>
          <w:lang w:eastAsia="zh-CN"/>
        </w:rPr>
        <w:t>年版）</w:t>
      </w:r>
    </w:p>
    <w:p>
      <w:pPr>
        <w:spacing w:line="440" w:lineRule="exact"/>
        <w:jc w:val="center"/>
        <w:rPr>
          <w:rFonts w:ascii="方正小标宋_GBK" w:hAnsi="方正小标宋_GBK" w:eastAsia="方正小标宋_GBK" w:cs="方正小标宋_GBK"/>
          <w:color w:val="000000"/>
          <w:sz w:val="32"/>
          <w:szCs w:val="32"/>
          <w:lang w:eastAsia="zh-CN"/>
        </w:rPr>
      </w:pPr>
    </w:p>
    <w:p>
      <w:pPr>
        <w:snapToGrid w:val="0"/>
        <w:spacing w:line="440" w:lineRule="exact"/>
        <w:jc w:val="both"/>
        <w:rPr>
          <w:rFonts w:hint="default" w:ascii="Times New Roman" w:hAnsi="Times New Roman" w:eastAsia="黑体" w:cs="Times New Roman"/>
          <w:color w:val="000000"/>
          <w:kern w:val="2"/>
          <w:sz w:val="21"/>
          <w:szCs w:val="21"/>
          <w:lang w:eastAsia="zh-CN"/>
        </w:rPr>
      </w:pPr>
      <w:r>
        <w:rPr>
          <w:rFonts w:hint="default" w:ascii="Times New Roman" w:hAnsi="Times New Roman" w:eastAsia="黑体" w:cs="Times New Roman"/>
          <w:color w:val="000000"/>
          <w:kern w:val="2"/>
          <w:sz w:val="21"/>
          <w:szCs w:val="21"/>
          <w:lang w:eastAsia="zh-CN"/>
        </w:rPr>
        <w:t>1 抽样方法</w:t>
      </w:r>
    </w:p>
    <w:p>
      <w:pPr>
        <w:adjustRightInd w:val="0"/>
        <w:snapToGrid w:val="0"/>
        <w:spacing w:line="440" w:lineRule="exact"/>
        <w:ind w:firstLine="420" w:firstLineChars="200"/>
        <w:jc w:val="both"/>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以随机抽样的方式在被抽样生产者、销售者的待销产品中抽取。</w:t>
      </w:r>
    </w:p>
    <w:p>
      <w:pPr>
        <w:snapToGrid w:val="0"/>
        <w:spacing w:line="440" w:lineRule="exact"/>
        <w:ind w:firstLine="420" w:firstLineChars="2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随机数一般可使用随机数表等方法产生。</w:t>
      </w:r>
    </w:p>
    <w:p>
      <w:pPr>
        <w:adjustRightInd w:val="0"/>
        <w:snapToGrid w:val="0"/>
        <w:spacing w:line="440" w:lineRule="exact"/>
        <w:jc w:val="both"/>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1.1有机肥料</w:t>
      </w:r>
    </w:p>
    <w:p>
      <w:pPr>
        <w:adjustRightInd w:val="0"/>
        <w:snapToGrid w:val="0"/>
        <w:spacing w:line="440" w:lineRule="exact"/>
        <w:ind w:firstLine="420" w:firstLineChars="200"/>
        <w:jc w:val="both"/>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将样品缩分至约2000g，分装于3个洁净、干燥的塑料瓶中，每份样品重量不少于600g，2瓶作为检验样品，另1瓶作为备用样品  。</w:t>
      </w:r>
    </w:p>
    <w:p>
      <w:pPr>
        <w:adjustRightInd w:val="0"/>
        <w:snapToGrid w:val="0"/>
        <w:spacing w:line="440" w:lineRule="exact"/>
        <w:jc w:val="both"/>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val="en-US" w:eastAsia="zh-CN"/>
        </w:rPr>
        <w:t>1.2</w:t>
      </w:r>
      <w:r>
        <w:rPr>
          <w:rFonts w:hint="default" w:ascii="Times New Roman" w:hAnsi="Times New Roman" w:eastAsia="宋体" w:cs="Times New Roman"/>
          <w:color w:val="000000"/>
          <w:kern w:val="2"/>
          <w:sz w:val="21"/>
          <w:szCs w:val="21"/>
          <w:lang w:eastAsia="zh-CN"/>
        </w:rPr>
        <w:t>复合微生物肥料、</w:t>
      </w:r>
      <w:r>
        <w:rPr>
          <w:rFonts w:hint="default" w:ascii="Times New Roman" w:hAnsi="Times New Roman" w:eastAsia="宋体" w:cs="Times New Roman"/>
          <w:color w:val="000000"/>
          <w:kern w:val="2"/>
          <w:sz w:val="21"/>
          <w:szCs w:val="21"/>
          <w:lang w:val="en-US" w:eastAsia="zh-CN"/>
        </w:rPr>
        <w:t>生物有机肥</w:t>
      </w:r>
    </w:p>
    <w:p>
      <w:pPr>
        <w:adjustRightInd w:val="0"/>
        <w:snapToGrid w:val="0"/>
        <w:spacing w:line="440" w:lineRule="exact"/>
        <w:ind w:firstLine="420" w:firstLineChars="200"/>
        <w:jc w:val="both"/>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抽样以袋为单位，随机抽取5袋～10袋。从每袋中取样300g~500g，然后将所有样品混匀，按四分法分装3份，每份不少于500g。</w:t>
      </w:r>
    </w:p>
    <w:p>
      <w:pPr>
        <w:adjustRightInd w:val="0"/>
        <w:snapToGrid w:val="0"/>
        <w:spacing w:line="440" w:lineRule="exact"/>
        <w:ind w:firstLine="420" w:firstLineChars="200"/>
        <w:jc w:val="both"/>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color w:val="000000"/>
          <w:kern w:val="2"/>
          <w:sz w:val="21"/>
          <w:szCs w:val="21"/>
          <w:lang w:val="en-US" w:eastAsia="zh-CN"/>
        </w:rPr>
        <w:t>警示：1、</w:t>
      </w:r>
      <w:r>
        <w:rPr>
          <w:rFonts w:hint="default" w:ascii="Times New Roman" w:hAnsi="Times New Roman" w:eastAsia="宋体" w:cs="Times New Roman"/>
          <w:color w:val="000000"/>
          <w:kern w:val="2"/>
          <w:sz w:val="21"/>
          <w:szCs w:val="21"/>
          <w:lang w:eastAsia="zh-CN"/>
        </w:rPr>
        <w:t>复合微生物肥料</w:t>
      </w:r>
      <w:r>
        <w:rPr>
          <w:rFonts w:hint="default" w:ascii="Times New Roman" w:hAnsi="Times New Roman" w:eastAsia="宋体" w:cs="Times New Roman"/>
          <w:color w:val="000000"/>
          <w:kern w:val="2"/>
          <w:sz w:val="21"/>
          <w:szCs w:val="21"/>
          <w:lang w:val="en-US" w:eastAsia="zh-CN"/>
        </w:rPr>
        <w:t>需记录总养分质量标识标明值；2、生物有机肥注意填写保质期。</w:t>
      </w:r>
    </w:p>
    <w:p>
      <w:pPr>
        <w:snapToGrid w:val="0"/>
        <w:spacing w:line="440" w:lineRule="exact"/>
        <w:jc w:val="both"/>
        <w:rPr>
          <w:rFonts w:hint="default" w:ascii="Times New Roman" w:hAnsi="Times New Roman" w:eastAsia="宋体" w:cs="Times New Roman"/>
          <w:bCs/>
          <w:color w:val="FF0000"/>
          <w:sz w:val="21"/>
          <w:szCs w:val="21"/>
          <w:lang w:val="en-US" w:eastAsia="zh-CN"/>
        </w:rPr>
      </w:pPr>
    </w:p>
    <w:p>
      <w:pPr>
        <w:snapToGrid w:val="0"/>
        <w:spacing w:line="440" w:lineRule="exact"/>
        <w:jc w:val="both"/>
        <w:rPr>
          <w:rFonts w:hint="default" w:ascii="Times New Roman" w:hAnsi="Times New Roman" w:eastAsia="宋体" w:cs="Times New Roman"/>
          <w:color w:val="000000"/>
          <w:kern w:val="2"/>
          <w:sz w:val="21"/>
          <w:szCs w:val="21"/>
          <w:lang w:eastAsia="zh-CN"/>
        </w:rPr>
      </w:pPr>
      <w:r>
        <w:rPr>
          <w:rFonts w:hint="default" w:ascii="Times New Roman" w:hAnsi="Times New Roman" w:eastAsia="黑体" w:cs="Times New Roman"/>
          <w:color w:val="000000"/>
          <w:kern w:val="2"/>
          <w:sz w:val="21"/>
          <w:szCs w:val="21"/>
          <w:lang w:eastAsia="zh-CN"/>
        </w:rPr>
        <w:t>2 检验依据</w:t>
      </w:r>
    </w:p>
    <w:p>
      <w:pPr>
        <w:snapToGrid w:val="0"/>
        <w:spacing w:line="440" w:lineRule="exact"/>
        <w:jc w:val="center"/>
        <w:rPr>
          <w:rFonts w:hint="default" w:ascii="Times New Roman" w:hAnsi="Times New Roman" w:eastAsia="黑体" w:cs="Times New Roman"/>
          <w:bCs/>
          <w:sz w:val="21"/>
          <w:szCs w:val="21"/>
          <w:lang w:eastAsia="zh-CN"/>
        </w:rPr>
      </w:pPr>
      <w:r>
        <w:rPr>
          <w:rFonts w:hint="default" w:ascii="Times New Roman" w:hAnsi="Times New Roman" w:eastAsia="黑体" w:cs="Times New Roman"/>
          <w:bCs/>
          <w:sz w:val="21"/>
          <w:szCs w:val="21"/>
          <w:lang w:eastAsia="zh-CN"/>
        </w:rPr>
        <w:t>表1 有机肥料</w:t>
      </w:r>
    </w:p>
    <w:tbl>
      <w:tblPr>
        <w:tblStyle w:val="9"/>
        <w:tblW w:w="8869" w:type="dxa"/>
        <w:tblInd w:w="-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4704"/>
        <w:gridCol w:w="3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Header/>
        </w:trPr>
        <w:tc>
          <w:tcPr>
            <w:tcW w:w="802" w:type="dxa"/>
            <w:tcBorders>
              <w:tl2br w:val="nil"/>
              <w:tr2bl w:val="nil"/>
            </w:tcBorders>
            <w:shd w:val="clear" w:color="auto" w:fill="auto"/>
            <w:vAlign w:val="center"/>
          </w:tcPr>
          <w:p>
            <w:pPr>
              <w:widowControl/>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序号</w:t>
            </w:r>
          </w:p>
        </w:tc>
        <w:tc>
          <w:tcPr>
            <w:tcW w:w="4704" w:type="dxa"/>
            <w:tcBorders>
              <w:tl2br w:val="nil"/>
              <w:tr2bl w:val="nil"/>
            </w:tcBorders>
            <w:shd w:val="clear" w:color="auto" w:fill="auto"/>
            <w:vAlign w:val="center"/>
          </w:tcPr>
          <w:p>
            <w:pPr>
              <w:widowControl/>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检验项目</w:t>
            </w:r>
          </w:p>
        </w:tc>
        <w:tc>
          <w:tcPr>
            <w:tcW w:w="3363" w:type="dxa"/>
            <w:tcBorders>
              <w:tl2br w:val="nil"/>
              <w:tr2bl w:val="nil"/>
            </w:tcBorders>
            <w:vAlign w:val="center"/>
          </w:tcPr>
          <w:p>
            <w:pPr>
              <w:widowControl/>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总氮(N)</w:t>
            </w:r>
          </w:p>
        </w:tc>
        <w:tc>
          <w:tcPr>
            <w:tcW w:w="3363" w:type="dxa"/>
            <w:tcBorders>
              <w:tl2br w:val="nil"/>
              <w:tr2bl w:val="nil"/>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kern w:val="2"/>
                <w:sz w:val="21"/>
                <w:szCs w:val="21"/>
                <w:highlight w:val="none"/>
                <w:lang w:eastAsia="zh-CN"/>
              </w:rPr>
              <w:t>NY/T 525—2021/附录D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总磷(P</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5</w:t>
            </w:r>
            <w:r>
              <w:rPr>
                <w:rFonts w:hint="default" w:ascii="Times New Roman" w:hAnsi="Times New Roman" w:eastAsia="宋体" w:cs="Times New Roman"/>
                <w:sz w:val="21"/>
                <w:szCs w:val="21"/>
              </w:rPr>
              <w:t>)</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525—2021/附录D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总钾(K</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525—2021/附录D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总养分(N+P</w:t>
            </w:r>
            <w:r>
              <w:rPr>
                <w:rFonts w:hint="default" w:ascii="Times New Roman" w:hAnsi="Times New Roman" w:eastAsia="宋体" w:cs="Times New Roman"/>
                <w:sz w:val="21"/>
                <w:szCs w:val="21"/>
                <w:vertAlign w:val="subscript"/>
                <w:lang w:eastAsia="zh-CN"/>
              </w:rPr>
              <w:t>2</w:t>
            </w:r>
            <w:r>
              <w:rPr>
                <w:rFonts w:hint="default" w:ascii="Times New Roman" w:hAnsi="Times New Roman" w:eastAsia="宋体" w:cs="Times New Roman"/>
                <w:sz w:val="21"/>
                <w:szCs w:val="21"/>
                <w:lang w:eastAsia="zh-CN"/>
              </w:rPr>
              <w:t>O</w:t>
            </w:r>
            <w:r>
              <w:rPr>
                <w:rFonts w:hint="default" w:ascii="Times New Roman" w:hAnsi="Times New Roman" w:eastAsia="宋体" w:cs="Times New Roman"/>
                <w:sz w:val="21"/>
                <w:szCs w:val="21"/>
                <w:vertAlign w:val="subscript"/>
                <w:lang w:eastAsia="zh-CN"/>
              </w:rPr>
              <w:t>5</w:t>
            </w:r>
            <w:r>
              <w:rPr>
                <w:rFonts w:hint="default" w:ascii="Times New Roman" w:hAnsi="Times New Roman" w:eastAsia="宋体" w:cs="Times New Roman"/>
                <w:sz w:val="21"/>
                <w:szCs w:val="21"/>
                <w:lang w:eastAsia="zh-CN"/>
              </w:rPr>
              <w:t>+K</w:t>
            </w:r>
            <w:r>
              <w:rPr>
                <w:rFonts w:hint="default" w:ascii="Times New Roman" w:hAnsi="Times New Roman" w:eastAsia="宋体" w:cs="Times New Roman"/>
                <w:sz w:val="21"/>
                <w:szCs w:val="21"/>
                <w:vertAlign w:val="subscript"/>
                <w:lang w:eastAsia="zh-CN"/>
              </w:rPr>
              <w:t>2</w:t>
            </w:r>
            <w:r>
              <w:rPr>
                <w:rFonts w:hint="default" w:ascii="Times New Roman" w:hAnsi="Times New Roman" w:eastAsia="宋体" w:cs="Times New Roman"/>
                <w:sz w:val="21"/>
                <w:szCs w:val="21"/>
                <w:lang w:eastAsia="zh-CN"/>
              </w:rPr>
              <w:t>O)的质量分数（以烘干基计）</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525—2021/附录D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有机质的质量分数（以烘干基计）</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525—2021/附录C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水分（鲜样）的质量分数</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GB/T 8576—2010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酸碱度(pH)</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525—2021/附录E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种子发芽指数（GI）</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525—2021/附录F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机械杂质的质量分数</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525—2021/附录G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spacing w:line="44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lang w:eastAsia="zh-CN"/>
              </w:rPr>
              <w:t>总砷（As）（</w:t>
            </w:r>
            <w:r>
              <w:rPr>
                <w:rFonts w:hint="default" w:ascii="Times New Roman" w:hAnsi="Times New Roman" w:eastAsia="宋体" w:cs="Times New Roman"/>
                <w:spacing w:val="4"/>
                <w:sz w:val="21"/>
                <w:szCs w:val="21"/>
                <w:lang w:val="en-US" w:eastAsia="zh-CN"/>
              </w:rPr>
              <w:t>以烘干基计</w:t>
            </w:r>
            <w:r>
              <w:rPr>
                <w:rFonts w:hint="default" w:ascii="Times New Roman" w:hAnsi="Times New Roman" w:eastAsia="宋体" w:cs="Times New Roman"/>
                <w:spacing w:val="4"/>
                <w:sz w:val="21"/>
                <w:szCs w:val="21"/>
                <w:lang w:eastAsia="zh-CN"/>
              </w:rPr>
              <w:t>）</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1978—2022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spacing w:line="44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lang w:eastAsia="zh-CN"/>
              </w:rPr>
              <w:t>总汞（Hg）（</w:t>
            </w:r>
            <w:r>
              <w:rPr>
                <w:rFonts w:hint="default" w:ascii="Times New Roman" w:hAnsi="Times New Roman" w:eastAsia="宋体" w:cs="Times New Roman"/>
                <w:spacing w:val="4"/>
                <w:sz w:val="21"/>
                <w:szCs w:val="21"/>
                <w:lang w:val="en-US" w:eastAsia="zh-CN"/>
              </w:rPr>
              <w:t>以烘干基计</w:t>
            </w:r>
            <w:r>
              <w:rPr>
                <w:rFonts w:hint="default" w:ascii="Times New Roman" w:hAnsi="Times New Roman" w:eastAsia="宋体" w:cs="Times New Roman"/>
                <w:spacing w:val="4"/>
                <w:sz w:val="21"/>
                <w:szCs w:val="21"/>
                <w:lang w:eastAsia="zh-CN"/>
              </w:rPr>
              <w:t>）</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1978—2022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spacing w:line="44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lang w:eastAsia="zh-CN"/>
              </w:rPr>
              <w:t>总铅（Pb）（</w:t>
            </w:r>
            <w:r>
              <w:rPr>
                <w:rFonts w:hint="default" w:ascii="Times New Roman" w:hAnsi="Times New Roman" w:eastAsia="宋体" w:cs="Times New Roman"/>
                <w:spacing w:val="4"/>
                <w:sz w:val="21"/>
                <w:szCs w:val="21"/>
                <w:lang w:val="en-US" w:eastAsia="zh-CN"/>
              </w:rPr>
              <w:t>以烘干基计</w:t>
            </w:r>
            <w:r>
              <w:rPr>
                <w:rFonts w:hint="default" w:ascii="Times New Roman" w:hAnsi="Times New Roman" w:eastAsia="宋体" w:cs="Times New Roman"/>
                <w:spacing w:val="4"/>
                <w:sz w:val="21"/>
                <w:szCs w:val="21"/>
                <w:lang w:eastAsia="zh-CN"/>
              </w:rPr>
              <w:t>）</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1978—2022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spacing w:line="44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lang w:eastAsia="zh-CN"/>
              </w:rPr>
              <w:t>总镉（Cd）（</w:t>
            </w:r>
            <w:r>
              <w:rPr>
                <w:rFonts w:hint="default" w:ascii="Times New Roman" w:hAnsi="Times New Roman" w:eastAsia="宋体" w:cs="Times New Roman"/>
                <w:spacing w:val="4"/>
                <w:sz w:val="21"/>
                <w:szCs w:val="21"/>
                <w:lang w:val="en-US" w:eastAsia="zh-CN"/>
              </w:rPr>
              <w:t>以烘干基计</w:t>
            </w:r>
            <w:r>
              <w:rPr>
                <w:rFonts w:hint="default" w:ascii="Times New Roman" w:hAnsi="Times New Roman" w:eastAsia="宋体" w:cs="Times New Roman"/>
                <w:spacing w:val="4"/>
                <w:sz w:val="21"/>
                <w:szCs w:val="21"/>
                <w:lang w:eastAsia="zh-CN"/>
              </w:rPr>
              <w:t>）</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1978—2022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spacing w:line="44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lang w:eastAsia="zh-CN"/>
              </w:rPr>
              <w:t>总铬（Cr）（</w:t>
            </w:r>
            <w:r>
              <w:rPr>
                <w:rFonts w:hint="default" w:ascii="Times New Roman" w:hAnsi="Times New Roman" w:eastAsia="宋体" w:cs="Times New Roman"/>
                <w:spacing w:val="4"/>
                <w:sz w:val="21"/>
                <w:szCs w:val="21"/>
                <w:lang w:val="en-US" w:eastAsia="zh-CN"/>
              </w:rPr>
              <w:t>以烘干基计</w:t>
            </w:r>
            <w:r>
              <w:rPr>
                <w:rFonts w:hint="default" w:ascii="Times New Roman" w:hAnsi="Times New Roman" w:eastAsia="宋体" w:cs="Times New Roman"/>
                <w:spacing w:val="4"/>
                <w:sz w:val="21"/>
                <w:szCs w:val="21"/>
                <w:lang w:eastAsia="zh-CN"/>
              </w:rPr>
              <w:t>）</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1978—2022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总铊</w:t>
            </w:r>
            <w:r>
              <w:rPr>
                <w:rFonts w:hint="default" w:ascii="Times New Roman" w:hAnsi="Times New Roman" w:eastAsia="宋体" w:cs="Times New Roman"/>
                <w:spacing w:val="4"/>
                <w:sz w:val="21"/>
                <w:szCs w:val="21"/>
                <w:lang w:eastAsia="zh-CN"/>
              </w:rPr>
              <w:t>（</w:t>
            </w:r>
            <w:r>
              <w:rPr>
                <w:rFonts w:hint="default" w:ascii="Times New Roman" w:hAnsi="Times New Roman" w:eastAsia="宋体" w:cs="Times New Roman"/>
                <w:spacing w:val="4"/>
                <w:sz w:val="21"/>
                <w:szCs w:val="21"/>
                <w:lang w:val="en-US" w:eastAsia="zh-CN"/>
              </w:rPr>
              <w:t>以烘干基计</w:t>
            </w:r>
            <w:r>
              <w:rPr>
                <w:rFonts w:hint="default" w:ascii="Times New Roman" w:hAnsi="Times New Roman" w:eastAsia="宋体" w:cs="Times New Roman"/>
                <w:spacing w:val="4"/>
                <w:sz w:val="21"/>
                <w:szCs w:val="21"/>
                <w:lang w:eastAsia="zh-CN"/>
              </w:rPr>
              <w:t>）</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eastAsia="宋体" w:cs="Times New Roman"/>
                <w:color w:val="000000"/>
                <w:kern w:val="2"/>
                <w:sz w:val="21"/>
                <w:szCs w:val="21"/>
                <w:lang w:val="en-US" w:eastAsia="zh-CN" w:bidi="ar-SA"/>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氯离子的质量分数</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 xml:space="preserve">      GB/T 15063-2020/附录B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cs="Times New Roman"/>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缩二脲</w:t>
            </w:r>
            <w:r>
              <w:rPr>
                <w:rFonts w:hint="default" w:ascii="Times New Roman" w:hAnsi="Times New Roman" w:eastAsia="宋体" w:cs="Times New Roman"/>
                <w:sz w:val="21"/>
                <w:szCs w:val="21"/>
                <w:vertAlign w:val="superscript"/>
                <w:lang w:val="en-US" w:eastAsia="zh-CN"/>
              </w:rPr>
              <w:t>b</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val="en-US" w:eastAsia="zh-CN"/>
              </w:rPr>
            </w:pPr>
            <w:r>
              <w:rPr>
                <w:rFonts w:hint="default" w:ascii="Times New Roman" w:hAnsi="Times New Roman" w:eastAsia="宋体" w:cs="Times New Roman"/>
                <w:color w:val="000000"/>
                <w:kern w:val="2"/>
                <w:sz w:val="21"/>
                <w:szCs w:val="21"/>
                <w:highlight w:val="none"/>
                <w:lang w:eastAsia="zh-CN"/>
              </w:rPr>
              <w:t>GB/T 22924—20</w:t>
            </w:r>
            <w:r>
              <w:rPr>
                <w:rFonts w:hint="default" w:ascii="Times New Roman" w:hAnsi="Times New Roman" w:eastAsia="宋体" w:cs="Times New Roman"/>
                <w:color w:val="000000"/>
                <w:kern w:val="2"/>
                <w:sz w:val="21"/>
                <w:szCs w:val="21"/>
                <w:highlight w:val="no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cs="Times New Roman"/>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蛔虫卵死亡率</w:t>
            </w:r>
            <w:r>
              <w:rPr>
                <w:rFonts w:hint="default" w:ascii="Times New Roman" w:hAnsi="Times New Roman" w:eastAsia="宋体" w:cs="Times New Roman"/>
                <w:sz w:val="21"/>
                <w:szCs w:val="21"/>
                <w:vertAlign w:val="superscript"/>
                <w:lang w:val="en-US" w:eastAsia="zh-CN"/>
              </w:rPr>
              <w:t>a</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GB/T 19524.2—2004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cs="Times New Roman"/>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粪大肠菌群数</w:t>
            </w:r>
            <w:r>
              <w:rPr>
                <w:rFonts w:hint="default" w:ascii="Times New Roman" w:hAnsi="Times New Roman" w:eastAsia="宋体" w:cs="Times New Roman"/>
                <w:sz w:val="21"/>
                <w:szCs w:val="21"/>
                <w:vertAlign w:val="superscript"/>
                <w:lang w:val="en-US" w:eastAsia="zh-CN"/>
              </w:rPr>
              <w:t>a</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GB/T 19524.1—2004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02" w:type="dxa"/>
            <w:tcBorders>
              <w:tl2br w:val="nil"/>
              <w:tr2bl w:val="nil"/>
            </w:tcBorders>
            <w:shd w:val="clear" w:color="auto" w:fill="auto"/>
            <w:vAlign w:val="center"/>
          </w:tcPr>
          <w:p>
            <w:pPr>
              <w:pStyle w:val="15"/>
              <w:numPr>
                <w:ilvl w:val="0"/>
                <w:numId w:val="1"/>
              </w:numPr>
              <w:rPr>
                <w:rFonts w:hint="default" w:ascii="Times New Roman" w:hAnsi="Times New Roman" w:cs="Times New Roman"/>
              </w:rPr>
            </w:pPr>
          </w:p>
        </w:tc>
        <w:tc>
          <w:tcPr>
            <w:tcW w:w="4704" w:type="dxa"/>
            <w:tcBorders>
              <w:tl2br w:val="nil"/>
              <w:tr2bl w:val="nil"/>
            </w:tcBorders>
            <w:shd w:val="clear" w:color="auto" w:fill="auto"/>
            <w:vAlign w:val="center"/>
          </w:tcPr>
          <w:p>
            <w:pPr>
              <w:widowControl/>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包装标识（总养分含量、有机质含量、含氯标识、名称中的禁用</w:t>
            </w:r>
            <w:r>
              <w:rPr>
                <w:rFonts w:hint="default" w:ascii="Times New Roman" w:hAnsi="Times New Roman" w:eastAsia="宋体" w:cs="Times New Roman"/>
                <w:color w:val="auto"/>
                <w:sz w:val="21"/>
                <w:szCs w:val="21"/>
                <w:lang w:eastAsia="zh-CN"/>
              </w:rPr>
              <w:t>语</w:t>
            </w:r>
            <w:r>
              <w:rPr>
                <w:rFonts w:hint="default" w:ascii="Times New Roman" w:hAnsi="Times New Roman" w:eastAsia="宋体" w:cs="Times New Roman"/>
                <w:color w:val="auto"/>
                <w:sz w:val="21"/>
                <w:szCs w:val="21"/>
                <w:lang w:val="en-US" w:eastAsia="zh-CN"/>
              </w:rPr>
              <w:t>等</w:t>
            </w:r>
            <w:r>
              <w:rPr>
                <w:rFonts w:hint="default" w:ascii="Times New Roman" w:hAnsi="Times New Roman" w:eastAsia="宋体" w:cs="Times New Roman"/>
                <w:sz w:val="21"/>
                <w:szCs w:val="21"/>
                <w:lang w:eastAsia="zh-CN"/>
              </w:rPr>
              <w:t>）</w:t>
            </w:r>
          </w:p>
        </w:tc>
        <w:tc>
          <w:tcPr>
            <w:tcW w:w="3363" w:type="dxa"/>
            <w:tcBorders>
              <w:tl2br w:val="nil"/>
              <w:tr2bl w:val="nil"/>
            </w:tcBorders>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GB 18382—2021</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525—2021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02" w:type="dxa"/>
            <w:tcBorders>
              <w:tl2br w:val="nil"/>
              <w:tr2bl w:val="nil"/>
            </w:tcBorders>
            <w:shd w:val="clear" w:color="auto" w:fill="auto"/>
            <w:vAlign w:val="center"/>
          </w:tcPr>
          <w:p>
            <w:pPr>
              <w:pStyle w:val="15"/>
              <w:rPr>
                <w:rFonts w:hint="default" w:ascii="Times New Roman" w:hAnsi="Times New Roman" w:cs="Times New Roman"/>
              </w:rPr>
            </w:pPr>
            <w:r>
              <w:rPr>
                <w:rFonts w:hint="default" w:ascii="Times New Roman" w:hAnsi="Times New Roman" w:cs="Times New Roman"/>
              </w:rPr>
              <w:t>说明</w:t>
            </w:r>
          </w:p>
        </w:tc>
        <w:tc>
          <w:tcPr>
            <w:tcW w:w="8067" w:type="dxa"/>
            <w:gridSpan w:val="2"/>
            <w:tcBorders>
              <w:tl2br w:val="nil"/>
              <w:tr2bl w:val="nil"/>
            </w:tcBorders>
            <w:shd w:val="clear" w:color="auto" w:fill="auto"/>
            <w:vAlign w:val="center"/>
          </w:tcPr>
          <w:p>
            <w:pPr>
              <w:widowControl/>
              <w:jc w:val="left"/>
              <w:rPr>
                <w:rFonts w:hint="default" w:ascii="Times New Roman" w:hAnsi="Times New Roman" w:cs="Times New Roman"/>
                <w:szCs w:val="21"/>
                <w:lang w:val="en-US" w:eastAsia="zh-CN"/>
              </w:rPr>
            </w:pPr>
            <w:r>
              <w:rPr>
                <w:rFonts w:hint="default" w:ascii="Times New Roman" w:hAnsi="Times New Roman" w:eastAsia="宋体" w:cs="Times New Roman"/>
                <w:sz w:val="21"/>
                <w:szCs w:val="21"/>
                <w:vertAlign w:val="baseline"/>
                <w:lang w:val="en-US" w:eastAsia="zh-CN"/>
              </w:rPr>
              <w:t xml:space="preserve">a </w:t>
            </w:r>
            <w:r>
              <w:rPr>
                <w:rFonts w:hint="default" w:ascii="Times New Roman" w:hAnsi="Times New Roman" w:cs="Times New Roman"/>
                <w:szCs w:val="21"/>
                <w:lang w:eastAsia="zh-CN"/>
              </w:rPr>
              <w:t>“</w:t>
            </w:r>
            <w:r>
              <w:rPr>
                <w:rFonts w:hint="eastAsia" w:ascii="Times New Roman" w:hAnsi="Times New Roman" w:eastAsia="宋体" w:cs="Times New Roman"/>
                <w:sz w:val="21"/>
                <w:szCs w:val="21"/>
                <w:lang w:eastAsia="zh-CN"/>
              </w:rPr>
              <w:t>粪大肠菌群数、蛔虫卵死亡率”项目不接受复检</w:t>
            </w:r>
            <w:r>
              <w:rPr>
                <w:rFonts w:hint="eastAsia" w:ascii="Times New Roman" w:hAnsi="Times New Roman" w:eastAsia="宋体" w:cs="Times New Roman"/>
                <w:sz w:val="21"/>
                <w:szCs w:val="21"/>
                <w:lang w:val="en-US" w:eastAsia="zh-CN"/>
              </w:rPr>
              <w:t>;</w:t>
            </w:r>
          </w:p>
        </w:tc>
      </w:tr>
    </w:tbl>
    <w:p>
      <w:pPr>
        <w:snapToGrid w:val="0"/>
        <w:spacing w:line="440" w:lineRule="exact"/>
        <w:jc w:val="both"/>
        <w:rPr>
          <w:rFonts w:hint="default" w:ascii="Times New Roman" w:hAnsi="Times New Roman" w:eastAsia="宋体" w:cs="Times New Roman"/>
          <w:bCs/>
          <w:sz w:val="21"/>
          <w:szCs w:val="21"/>
          <w:lang w:eastAsia="zh-CN"/>
        </w:rPr>
      </w:pPr>
    </w:p>
    <w:p>
      <w:pPr>
        <w:snapToGrid w:val="0"/>
        <w:spacing w:line="440" w:lineRule="exact"/>
        <w:jc w:val="center"/>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表2 复合微生物肥料</w:t>
      </w:r>
    </w:p>
    <w:tbl>
      <w:tblPr>
        <w:tblStyle w:val="11"/>
        <w:tblW w:w="85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4490"/>
        <w:gridCol w:w="3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exact"/>
          <w:jc w:val="center"/>
        </w:trPr>
        <w:tc>
          <w:tcPr>
            <w:tcW w:w="931" w:type="dxa"/>
            <w:vMerge w:val="restart"/>
            <w:vAlign w:val="center"/>
          </w:tcPr>
          <w:p>
            <w:pPr>
              <w:spacing w:line="440" w:lineRule="exact"/>
              <w:ind w:left="-112" w:leftChars="-5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序号</w:t>
            </w:r>
          </w:p>
        </w:tc>
        <w:tc>
          <w:tcPr>
            <w:tcW w:w="4490" w:type="dxa"/>
            <w:vMerge w:val="restart"/>
            <w:vAlign w:val="center"/>
          </w:tcPr>
          <w:p>
            <w:pPr>
              <w:spacing w:line="440" w:lineRule="exact"/>
              <w:ind w:left="-112" w:leftChars="-5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检验项目</w:t>
            </w:r>
          </w:p>
        </w:tc>
        <w:tc>
          <w:tcPr>
            <w:tcW w:w="3152" w:type="dxa"/>
            <w:vMerge w:val="restart"/>
            <w:vAlign w:val="center"/>
          </w:tcPr>
          <w:p>
            <w:pPr>
              <w:spacing w:line="440" w:lineRule="exact"/>
              <w:ind w:left="-112" w:leftChars="-5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31" w:type="dxa"/>
            <w:vMerge w:val="continue"/>
            <w:vAlign w:val="center"/>
          </w:tcPr>
          <w:p>
            <w:pPr>
              <w:spacing w:line="440" w:lineRule="exact"/>
              <w:jc w:val="center"/>
              <w:rPr>
                <w:rFonts w:hint="default" w:ascii="Times New Roman" w:hAnsi="Times New Roman" w:eastAsia="宋体" w:cs="Times New Roman"/>
                <w:sz w:val="21"/>
                <w:szCs w:val="21"/>
              </w:rPr>
            </w:pPr>
          </w:p>
        </w:tc>
        <w:tc>
          <w:tcPr>
            <w:tcW w:w="4490" w:type="dxa"/>
            <w:vMerge w:val="continue"/>
            <w:vAlign w:val="center"/>
          </w:tcPr>
          <w:p>
            <w:pPr>
              <w:spacing w:line="440" w:lineRule="exact"/>
              <w:jc w:val="center"/>
              <w:rPr>
                <w:rFonts w:hint="default" w:ascii="Times New Roman" w:hAnsi="Times New Roman" w:eastAsia="宋体" w:cs="Times New Roman"/>
                <w:sz w:val="21"/>
                <w:szCs w:val="21"/>
              </w:rPr>
            </w:pPr>
          </w:p>
        </w:tc>
        <w:tc>
          <w:tcPr>
            <w:tcW w:w="3152" w:type="dxa"/>
            <w:vMerge w:val="continue"/>
            <w:vAlign w:val="center"/>
          </w:tcPr>
          <w:p>
            <w:pPr>
              <w:spacing w:line="440" w:lineRule="exact"/>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1</w:t>
            </w:r>
          </w:p>
        </w:tc>
        <w:tc>
          <w:tcPr>
            <w:tcW w:w="4490" w:type="dxa"/>
            <w:vAlign w:val="center"/>
          </w:tcPr>
          <w:p>
            <w:pPr>
              <w:spacing w:line="440" w:lineRule="exact"/>
              <w:ind w:left="-112" w:leftChars="-5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有效活菌数(cfu)</w:t>
            </w:r>
          </w:p>
        </w:tc>
        <w:tc>
          <w:tcPr>
            <w:tcW w:w="3152"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2321-2013</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2</w:t>
            </w:r>
          </w:p>
        </w:tc>
        <w:tc>
          <w:tcPr>
            <w:tcW w:w="4490" w:type="dxa"/>
            <w:vAlign w:val="center"/>
          </w:tcPr>
          <w:p>
            <w:pPr>
              <w:spacing w:line="440" w:lineRule="exact"/>
              <w:ind w:left="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有机质（以烘干基计）</w:t>
            </w:r>
          </w:p>
        </w:tc>
        <w:tc>
          <w:tcPr>
            <w:tcW w:w="3152"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525-2021</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3</w:t>
            </w:r>
          </w:p>
        </w:tc>
        <w:tc>
          <w:tcPr>
            <w:tcW w:w="4490" w:type="dxa"/>
            <w:vAlign w:val="center"/>
          </w:tcPr>
          <w:p>
            <w:pPr>
              <w:spacing w:line="440" w:lineRule="exact"/>
              <w:ind w:left="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总养分（N+P</w:t>
            </w:r>
            <w:r>
              <w:rPr>
                <w:rFonts w:hint="default" w:ascii="Times New Roman" w:hAnsi="Times New Roman" w:eastAsia="宋体" w:cs="Times New Roman"/>
                <w:sz w:val="21"/>
                <w:szCs w:val="21"/>
                <w:vertAlign w:val="subscript"/>
                <w:lang w:eastAsia="zh-CN"/>
              </w:rPr>
              <w:t>2</w:t>
            </w:r>
            <w:r>
              <w:rPr>
                <w:rFonts w:hint="default" w:ascii="Times New Roman" w:hAnsi="Times New Roman" w:eastAsia="宋体" w:cs="Times New Roman"/>
                <w:sz w:val="21"/>
                <w:szCs w:val="21"/>
                <w:lang w:eastAsia="zh-CN"/>
              </w:rPr>
              <w:t>O</w:t>
            </w:r>
            <w:r>
              <w:rPr>
                <w:rFonts w:hint="default" w:ascii="Times New Roman" w:hAnsi="Times New Roman" w:eastAsia="宋体" w:cs="Times New Roman"/>
                <w:sz w:val="21"/>
                <w:szCs w:val="21"/>
                <w:vertAlign w:val="subscript"/>
                <w:lang w:eastAsia="zh-CN"/>
              </w:rPr>
              <w:t>5</w:t>
            </w:r>
            <w:r>
              <w:rPr>
                <w:rFonts w:hint="default" w:ascii="Times New Roman" w:hAnsi="Times New Roman" w:eastAsia="宋体" w:cs="Times New Roman"/>
                <w:sz w:val="21"/>
                <w:szCs w:val="21"/>
                <w:lang w:eastAsia="zh-CN"/>
              </w:rPr>
              <w:t>+K</w:t>
            </w:r>
            <w:r>
              <w:rPr>
                <w:rFonts w:hint="default" w:ascii="Times New Roman" w:hAnsi="Times New Roman" w:eastAsia="宋体" w:cs="Times New Roman"/>
                <w:sz w:val="21"/>
                <w:szCs w:val="21"/>
                <w:vertAlign w:val="subscript"/>
                <w:lang w:eastAsia="zh-CN"/>
              </w:rPr>
              <w:t>2</w:t>
            </w:r>
            <w:r>
              <w:rPr>
                <w:rFonts w:hint="default" w:ascii="Times New Roman" w:hAnsi="Times New Roman" w:eastAsia="宋体" w:cs="Times New Roman"/>
                <w:sz w:val="21"/>
                <w:szCs w:val="21"/>
                <w:lang w:eastAsia="zh-CN"/>
              </w:rPr>
              <w:t>O）</w:t>
            </w:r>
          </w:p>
        </w:tc>
        <w:tc>
          <w:tcPr>
            <w:tcW w:w="3152"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4</w:t>
            </w:r>
          </w:p>
        </w:tc>
        <w:tc>
          <w:tcPr>
            <w:tcW w:w="4490" w:type="dxa"/>
            <w:vAlign w:val="center"/>
          </w:tcPr>
          <w:p>
            <w:pPr>
              <w:spacing w:line="440" w:lineRule="exact"/>
              <w:ind w:left="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总氮（N）含量</w:t>
            </w:r>
          </w:p>
        </w:tc>
        <w:tc>
          <w:tcPr>
            <w:tcW w:w="3152" w:type="dxa"/>
            <w:vMerge w:val="restart"/>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525-2021</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5</w:t>
            </w:r>
          </w:p>
        </w:tc>
        <w:tc>
          <w:tcPr>
            <w:tcW w:w="4490" w:type="dxa"/>
            <w:vAlign w:val="center"/>
          </w:tcPr>
          <w:p>
            <w:pPr>
              <w:spacing w:line="440" w:lineRule="exact"/>
              <w:ind w:left="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磷（P</w:t>
            </w:r>
            <w:r>
              <w:rPr>
                <w:rFonts w:hint="default" w:ascii="Times New Roman" w:hAnsi="Times New Roman" w:eastAsia="宋体" w:cs="Times New Roman"/>
                <w:sz w:val="21"/>
                <w:szCs w:val="21"/>
                <w:vertAlign w:val="subscript"/>
                <w:lang w:eastAsia="zh-CN"/>
              </w:rPr>
              <w:t>2</w:t>
            </w:r>
            <w:r>
              <w:rPr>
                <w:rFonts w:hint="default" w:ascii="Times New Roman" w:hAnsi="Times New Roman" w:eastAsia="宋体" w:cs="Times New Roman"/>
                <w:sz w:val="21"/>
                <w:szCs w:val="21"/>
                <w:lang w:eastAsia="zh-CN"/>
              </w:rPr>
              <w:t>O</w:t>
            </w:r>
            <w:r>
              <w:rPr>
                <w:rFonts w:hint="default" w:ascii="Times New Roman" w:hAnsi="Times New Roman" w:eastAsia="宋体" w:cs="Times New Roman"/>
                <w:sz w:val="21"/>
                <w:szCs w:val="21"/>
                <w:vertAlign w:val="subscript"/>
                <w:lang w:eastAsia="zh-CN"/>
              </w:rPr>
              <w:t>5</w:t>
            </w:r>
            <w:r>
              <w:rPr>
                <w:rFonts w:hint="default" w:ascii="Times New Roman" w:hAnsi="Times New Roman" w:eastAsia="宋体" w:cs="Times New Roman"/>
                <w:sz w:val="21"/>
                <w:szCs w:val="21"/>
                <w:lang w:eastAsia="zh-CN"/>
              </w:rPr>
              <w:t>）含量</w:t>
            </w:r>
          </w:p>
        </w:tc>
        <w:tc>
          <w:tcPr>
            <w:tcW w:w="3152" w:type="dxa"/>
            <w:vMerge w:val="continue"/>
            <w:vAlign w:val="center"/>
          </w:tcPr>
          <w:p>
            <w:pPr>
              <w:jc w:val="center"/>
              <w:rPr>
                <w:rFonts w:hint="default" w:ascii="Times New Roman" w:hAnsi="Times New Roman" w:eastAsia="宋体" w:cs="Times New Roman"/>
                <w:color w:val="000000"/>
                <w:kern w:val="2"/>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6</w:t>
            </w:r>
          </w:p>
        </w:tc>
        <w:tc>
          <w:tcPr>
            <w:tcW w:w="4490" w:type="dxa"/>
            <w:vAlign w:val="center"/>
          </w:tcPr>
          <w:p>
            <w:pPr>
              <w:spacing w:line="440" w:lineRule="exact"/>
              <w:ind w:left="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钾（K</w:t>
            </w:r>
            <w:r>
              <w:rPr>
                <w:rFonts w:hint="default" w:ascii="Times New Roman" w:hAnsi="Times New Roman" w:eastAsia="宋体" w:cs="Times New Roman"/>
                <w:sz w:val="21"/>
                <w:szCs w:val="21"/>
                <w:vertAlign w:val="subscript"/>
                <w:lang w:eastAsia="zh-CN"/>
              </w:rPr>
              <w:t>2</w:t>
            </w:r>
            <w:r>
              <w:rPr>
                <w:rFonts w:hint="default" w:ascii="Times New Roman" w:hAnsi="Times New Roman" w:eastAsia="宋体" w:cs="Times New Roman"/>
                <w:sz w:val="21"/>
                <w:szCs w:val="21"/>
                <w:lang w:eastAsia="zh-CN"/>
              </w:rPr>
              <w:t>O）含量</w:t>
            </w:r>
          </w:p>
        </w:tc>
        <w:tc>
          <w:tcPr>
            <w:tcW w:w="3152"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2321-2013</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7</w:t>
            </w:r>
          </w:p>
        </w:tc>
        <w:tc>
          <w:tcPr>
            <w:tcW w:w="4490" w:type="dxa"/>
            <w:vAlign w:val="center"/>
          </w:tcPr>
          <w:p>
            <w:pPr>
              <w:spacing w:line="440" w:lineRule="exact"/>
              <w:ind w:left="-112" w:leftChars="-5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杂菌率</w:t>
            </w:r>
          </w:p>
        </w:tc>
        <w:tc>
          <w:tcPr>
            <w:tcW w:w="3152"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2321-2013</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8</w:t>
            </w:r>
          </w:p>
        </w:tc>
        <w:tc>
          <w:tcPr>
            <w:tcW w:w="4490" w:type="dxa"/>
            <w:vAlign w:val="center"/>
          </w:tcPr>
          <w:p>
            <w:pPr>
              <w:spacing w:line="440" w:lineRule="exact"/>
              <w:ind w:left="-112" w:leftChars="-51" w:right="-112" w:right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水分</w:t>
            </w:r>
          </w:p>
        </w:tc>
        <w:tc>
          <w:tcPr>
            <w:tcW w:w="3152"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2321-2013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9</w:t>
            </w:r>
          </w:p>
        </w:tc>
        <w:tc>
          <w:tcPr>
            <w:tcW w:w="4490" w:type="dxa"/>
            <w:vAlign w:val="center"/>
          </w:tcPr>
          <w:p>
            <w:pPr>
              <w:spacing w:line="440" w:lineRule="exact"/>
              <w:ind w:left="-112" w:leftChars="-51" w:right="-112" w:right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p</w:t>
            </w:r>
            <w:r>
              <w:rPr>
                <w:rFonts w:hint="default" w:ascii="Times New Roman" w:hAnsi="Times New Roman" w:eastAsia="宋体" w:cs="Times New Roman"/>
                <w:sz w:val="21"/>
                <w:szCs w:val="21"/>
              </w:rPr>
              <w:t>H</w:t>
            </w:r>
          </w:p>
        </w:tc>
        <w:tc>
          <w:tcPr>
            <w:tcW w:w="3152"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2321-2013</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10</w:t>
            </w:r>
          </w:p>
        </w:tc>
        <w:tc>
          <w:tcPr>
            <w:tcW w:w="4490" w:type="dxa"/>
            <w:vAlign w:val="center"/>
          </w:tcPr>
          <w:p>
            <w:pPr>
              <w:spacing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pacing w:val="4"/>
                <w:sz w:val="21"/>
                <w:szCs w:val="21"/>
                <w:lang w:eastAsia="zh-CN"/>
              </w:rPr>
              <w:t>砷（As）</w:t>
            </w:r>
            <w:r>
              <w:rPr>
                <w:rFonts w:hint="default" w:ascii="Times New Roman" w:hAnsi="Times New Roman" w:eastAsia="宋体" w:cs="Times New Roman"/>
                <w:sz w:val="21"/>
                <w:szCs w:val="21"/>
                <w:lang w:eastAsia="zh-CN"/>
              </w:rPr>
              <w:t>（以烘干基计）</w:t>
            </w:r>
          </w:p>
        </w:tc>
        <w:tc>
          <w:tcPr>
            <w:tcW w:w="3152" w:type="dxa"/>
            <w:vMerge w:val="restart"/>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1978-2022</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11</w:t>
            </w:r>
          </w:p>
        </w:tc>
        <w:tc>
          <w:tcPr>
            <w:tcW w:w="4490" w:type="dxa"/>
            <w:vAlign w:val="center"/>
          </w:tcPr>
          <w:p>
            <w:pPr>
              <w:spacing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pacing w:val="4"/>
                <w:sz w:val="21"/>
                <w:szCs w:val="21"/>
                <w:lang w:eastAsia="zh-CN"/>
              </w:rPr>
              <w:t>汞（Hg）</w:t>
            </w:r>
            <w:r>
              <w:rPr>
                <w:rFonts w:hint="default" w:ascii="Times New Roman" w:hAnsi="Times New Roman" w:eastAsia="宋体" w:cs="Times New Roman"/>
                <w:sz w:val="21"/>
                <w:szCs w:val="21"/>
                <w:lang w:eastAsia="zh-CN"/>
              </w:rPr>
              <w:t>（以烘干基计）</w:t>
            </w:r>
          </w:p>
        </w:tc>
        <w:tc>
          <w:tcPr>
            <w:tcW w:w="3152" w:type="dxa"/>
            <w:vMerge w:val="continue"/>
            <w:vAlign w:val="center"/>
          </w:tcPr>
          <w:p>
            <w:pPr>
              <w:jc w:val="center"/>
              <w:rPr>
                <w:rFonts w:hint="default" w:ascii="Times New Roman" w:hAnsi="Times New Roman" w:eastAsia="宋体" w:cs="Times New Roman"/>
                <w:color w:val="000000"/>
                <w:kern w:val="2"/>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12</w:t>
            </w:r>
          </w:p>
        </w:tc>
        <w:tc>
          <w:tcPr>
            <w:tcW w:w="4490" w:type="dxa"/>
            <w:vAlign w:val="center"/>
          </w:tcPr>
          <w:p>
            <w:pPr>
              <w:spacing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铅（Pb）（以烘干基计）</w:t>
            </w:r>
          </w:p>
        </w:tc>
        <w:tc>
          <w:tcPr>
            <w:tcW w:w="3152" w:type="dxa"/>
            <w:vMerge w:val="continue"/>
            <w:vAlign w:val="center"/>
          </w:tcPr>
          <w:p>
            <w:pPr>
              <w:jc w:val="center"/>
              <w:rPr>
                <w:rFonts w:hint="default" w:ascii="Times New Roman" w:hAnsi="Times New Roman" w:eastAsia="宋体" w:cs="Times New Roman"/>
                <w:color w:val="000000"/>
                <w:kern w:val="2"/>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13</w:t>
            </w:r>
          </w:p>
        </w:tc>
        <w:tc>
          <w:tcPr>
            <w:tcW w:w="4490" w:type="dxa"/>
            <w:vAlign w:val="center"/>
          </w:tcPr>
          <w:p>
            <w:pPr>
              <w:spacing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镉（Cd）（以烘干基计）</w:t>
            </w:r>
          </w:p>
        </w:tc>
        <w:tc>
          <w:tcPr>
            <w:tcW w:w="3152" w:type="dxa"/>
            <w:vMerge w:val="continue"/>
            <w:vAlign w:val="center"/>
          </w:tcPr>
          <w:p>
            <w:pPr>
              <w:jc w:val="center"/>
              <w:rPr>
                <w:rFonts w:hint="default" w:ascii="Times New Roman" w:hAnsi="Times New Roman" w:eastAsia="宋体" w:cs="Times New Roman"/>
                <w:color w:val="000000"/>
                <w:kern w:val="2"/>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14</w:t>
            </w:r>
          </w:p>
        </w:tc>
        <w:tc>
          <w:tcPr>
            <w:tcW w:w="4490" w:type="dxa"/>
            <w:vAlign w:val="center"/>
          </w:tcPr>
          <w:p>
            <w:pPr>
              <w:spacing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pacing w:val="4"/>
                <w:sz w:val="21"/>
                <w:szCs w:val="21"/>
                <w:lang w:eastAsia="zh-CN"/>
              </w:rPr>
              <w:t>铬（Cr）</w:t>
            </w:r>
            <w:r>
              <w:rPr>
                <w:rFonts w:hint="default" w:ascii="Times New Roman" w:hAnsi="Times New Roman" w:eastAsia="宋体" w:cs="Times New Roman"/>
                <w:sz w:val="21"/>
                <w:szCs w:val="21"/>
                <w:lang w:eastAsia="zh-CN"/>
              </w:rPr>
              <w:t>（以烘干基计）</w:t>
            </w:r>
          </w:p>
        </w:tc>
        <w:tc>
          <w:tcPr>
            <w:tcW w:w="3152" w:type="dxa"/>
            <w:vMerge w:val="continue"/>
            <w:vAlign w:val="center"/>
          </w:tcPr>
          <w:p>
            <w:pPr>
              <w:jc w:val="center"/>
              <w:rPr>
                <w:rFonts w:hint="default" w:ascii="Times New Roman" w:hAnsi="Times New Roman" w:eastAsia="宋体" w:cs="Times New Roman"/>
                <w:color w:val="000000"/>
                <w:kern w:val="2"/>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15</w:t>
            </w:r>
          </w:p>
        </w:tc>
        <w:tc>
          <w:tcPr>
            <w:tcW w:w="4490" w:type="dxa"/>
            <w:vAlign w:val="center"/>
          </w:tcPr>
          <w:p>
            <w:pPr>
              <w:widowControl/>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包装标识（总养分含量、名称中的禁用语</w:t>
            </w:r>
            <w:r>
              <w:rPr>
                <w:rFonts w:hint="default" w:ascii="Times New Roman" w:hAnsi="Times New Roman" w:eastAsia="宋体" w:cs="Times New Roman"/>
                <w:color w:val="auto"/>
                <w:sz w:val="21"/>
                <w:szCs w:val="21"/>
                <w:lang w:val="en-US" w:eastAsia="zh-CN"/>
              </w:rPr>
              <w:t>等</w:t>
            </w:r>
            <w:r>
              <w:rPr>
                <w:rFonts w:hint="default" w:ascii="Times New Roman" w:hAnsi="Times New Roman" w:eastAsia="宋体" w:cs="Times New Roman"/>
                <w:color w:val="auto"/>
                <w:sz w:val="21"/>
                <w:szCs w:val="21"/>
                <w:lang w:eastAsia="zh-CN"/>
              </w:rPr>
              <w:t>）</w:t>
            </w:r>
          </w:p>
        </w:tc>
        <w:tc>
          <w:tcPr>
            <w:tcW w:w="3152"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GB 18382—2021</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vAlign w:val="center"/>
          </w:tcPr>
          <w:p>
            <w:pPr>
              <w:pStyle w:val="15"/>
              <w:rPr>
                <w:rFonts w:hint="default" w:ascii="Times New Roman" w:hAnsi="Times New Roman" w:eastAsia="宋体" w:cs="Times New Roman"/>
                <w:sz w:val="21"/>
                <w:szCs w:val="21"/>
                <w:lang w:val="en-US" w:eastAsia="zh-CN" w:bidi="ar-SA"/>
              </w:rPr>
            </w:pPr>
            <w:r>
              <w:rPr>
                <w:rFonts w:hint="default" w:ascii="Times New Roman" w:hAnsi="Times New Roman" w:cs="Times New Roman"/>
              </w:rPr>
              <w:t>说明</w:t>
            </w:r>
          </w:p>
        </w:tc>
        <w:tc>
          <w:tcPr>
            <w:tcW w:w="7642" w:type="dxa"/>
            <w:gridSpan w:val="2"/>
            <w:vAlign w:val="center"/>
          </w:tcPr>
          <w:p>
            <w:pPr>
              <w:widowControl/>
              <w:jc w:val="both"/>
              <w:rPr>
                <w:rFonts w:hint="default" w:ascii="Times New Roman" w:hAnsi="Times New Roman" w:eastAsia="宋体" w:cs="Times New Roman"/>
                <w:sz w:val="21"/>
                <w:szCs w:val="21"/>
                <w:lang w:val="en-US" w:eastAsia="zh-CN" w:bidi="ar-SA"/>
              </w:rPr>
            </w:pPr>
            <w:r>
              <w:rPr>
                <w:rFonts w:hint="default" w:ascii="Times New Roman" w:hAnsi="Times New Roman" w:cs="Times New Roman"/>
                <w:szCs w:val="21"/>
                <w:lang w:eastAsia="zh-CN"/>
              </w:rPr>
              <w:t>“</w:t>
            </w:r>
            <w:r>
              <w:rPr>
                <w:rFonts w:hint="default" w:ascii="Times New Roman" w:hAnsi="Times New Roman" w:eastAsia="宋体" w:cs="Times New Roman"/>
                <w:sz w:val="21"/>
                <w:szCs w:val="21"/>
                <w:lang w:eastAsia="zh-CN"/>
              </w:rPr>
              <w:t>有效活菌数</w:t>
            </w:r>
            <w:r>
              <w:rPr>
                <w:rFonts w:hint="default" w:ascii="Times New Roman" w:hAnsi="Times New Roman" w:cs="Times New Roman"/>
                <w:szCs w:val="21"/>
                <w:lang w:eastAsia="zh-CN"/>
              </w:rPr>
              <w:t>、</w:t>
            </w:r>
            <w:r>
              <w:rPr>
                <w:rFonts w:hint="default" w:ascii="Times New Roman" w:hAnsi="Times New Roman" w:eastAsia="宋体" w:cs="Times New Roman"/>
                <w:sz w:val="21"/>
                <w:szCs w:val="21"/>
                <w:lang w:eastAsia="zh-CN"/>
              </w:rPr>
              <w:t>杂菌率”项目不接受复检。</w:t>
            </w:r>
          </w:p>
        </w:tc>
      </w:tr>
    </w:tbl>
    <w:p>
      <w:pPr>
        <w:snapToGrid w:val="0"/>
        <w:spacing w:line="440" w:lineRule="exact"/>
        <w:rPr>
          <w:rFonts w:hint="default" w:ascii="Times New Roman" w:hAnsi="Times New Roman" w:eastAsia="宋体" w:cs="Times New Roman"/>
          <w:sz w:val="21"/>
          <w:szCs w:val="21"/>
          <w:lang w:eastAsia="zh-CN"/>
        </w:rPr>
      </w:pPr>
    </w:p>
    <w:p>
      <w:pPr>
        <w:snapToGrid w:val="0"/>
        <w:spacing w:line="440" w:lineRule="exact"/>
        <w:jc w:val="center"/>
        <w:rPr>
          <w:rFonts w:hint="default" w:ascii="Times New Roman" w:hAnsi="Times New Roman" w:eastAsia="黑体" w:cs="Times New Roman"/>
          <w:bCs/>
          <w:sz w:val="21"/>
          <w:szCs w:val="21"/>
          <w:lang w:eastAsia="zh-CN"/>
        </w:rPr>
      </w:pPr>
      <w:r>
        <w:rPr>
          <w:rFonts w:hint="default" w:ascii="Times New Roman" w:hAnsi="Times New Roman" w:eastAsia="黑体" w:cs="Times New Roman"/>
          <w:bCs/>
          <w:sz w:val="21"/>
          <w:szCs w:val="21"/>
          <w:lang w:eastAsia="zh-CN"/>
        </w:rPr>
        <w:t>表3 生物有机肥</w:t>
      </w:r>
    </w:p>
    <w:tbl>
      <w:tblPr>
        <w:tblStyle w:val="11"/>
        <w:tblW w:w="8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4544"/>
        <w:gridCol w:w="3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57" w:type="dxa"/>
            <w:vMerge w:val="restart"/>
            <w:vAlign w:val="center"/>
          </w:tcPr>
          <w:p>
            <w:pPr>
              <w:spacing w:line="440" w:lineRule="exact"/>
              <w:ind w:left="-112" w:leftChars="-51" w:right="-112" w:rightChars="-51"/>
              <w:jc w:val="center"/>
              <w:rPr>
                <w:rFonts w:hint="default" w:ascii="Times New Roman" w:hAnsi="Times New Roman" w:eastAsia="黑体" w:cs="Times New Roman"/>
                <w:sz w:val="21"/>
                <w:szCs w:val="21"/>
                <w:lang w:eastAsia="zh-CN"/>
              </w:rPr>
            </w:pPr>
            <w:r>
              <w:rPr>
                <w:rFonts w:hint="default" w:ascii="Times New Roman" w:hAnsi="Times New Roman" w:eastAsia="黑体" w:cs="Times New Roman"/>
                <w:sz w:val="21"/>
                <w:szCs w:val="21"/>
                <w:lang w:eastAsia="zh-CN"/>
              </w:rPr>
              <w:t>序号</w:t>
            </w:r>
          </w:p>
        </w:tc>
        <w:tc>
          <w:tcPr>
            <w:tcW w:w="4544" w:type="dxa"/>
            <w:vMerge w:val="restart"/>
            <w:vAlign w:val="center"/>
          </w:tcPr>
          <w:p>
            <w:pPr>
              <w:spacing w:line="440" w:lineRule="exact"/>
              <w:ind w:left="-112" w:leftChars="-51" w:right="-112" w:rightChars="-51"/>
              <w:jc w:val="center"/>
              <w:rPr>
                <w:rFonts w:hint="default" w:ascii="Times New Roman" w:hAnsi="Times New Roman" w:eastAsia="黑体" w:cs="Times New Roman"/>
                <w:sz w:val="21"/>
                <w:szCs w:val="21"/>
                <w:lang w:eastAsia="zh-CN"/>
              </w:rPr>
            </w:pPr>
            <w:r>
              <w:rPr>
                <w:rFonts w:hint="default" w:ascii="Times New Roman" w:hAnsi="Times New Roman" w:eastAsia="黑体" w:cs="Times New Roman"/>
                <w:sz w:val="21"/>
                <w:szCs w:val="21"/>
                <w:lang w:eastAsia="zh-CN"/>
              </w:rPr>
              <w:t>检验项目</w:t>
            </w:r>
          </w:p>
        </w:tc>
        <w:tc>
          <w:tcPr>
            <w:tcW w:w="3087" w:type="dxa"/>
            <w:vMerge w:val="restart"/>
            <w:vAlign w:val="center"/>
          </w:tcPr>
          <w:p>
            <w:pPr>
              <w:spacing w:line="440" w:lineRule="exact"/>
              <w:ind w:left="-112" w:leftChars="-51" w:right="-112" w:rightChars="-51"/>
              <w:jc w:val="center"/>
              <w:rPr>
                <w:rFonts w:hint="default" w:ascii="Times New Roman" w:hAnsi="Times New Roman" w:eastAsia="黑体" w:cs="Times New Roman"/>
                <w:sz w:val="21"/>
                <w:szCs w:val="21"/>
                <w:lang w:eastAsia="zh-CN"/>
              </w:rPr>
            </w:pPr>
            <w:r>
              <w:rPr>
                <w:rFonts w:hint="default" w:ascii="Times New Roman" w:hAnsi="Times New Roman" w:eastAsia="黑体" w:cs="Times New Roman"/>
                <w:sz w:val="21"/>
                <w:szCs w:val="21"/>
                <w:lang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57" w:type="dxa"/>
            <w:vMerge w:val="continue"/>
            <w:vAlign w:val="center"/>
          </w:tcPr>
          <w:p>
            <w:pPr>
              <w:spacing w:line="440" w:lineRule="exact"/>
              <w:jc w:val="center"/>
              <w:rPr>
                <w:rFonts w:hint="default" w:ascii="Times New Roman" w:hAnsi="Times New Roman" w:eastAsia="宋体" w:cs="Times New Roman"/>
                <w:sz w:val="21"/>
                <w:szCs w:val="21"/>
              </w:rPr>
            </w:pPr>
          </w:p>
        </w:tc>
        <w:tc>
          <w:tcPr>
            <w:tcW w:w="4544" w:type="dxa"/>
            <w:vMerge w:val="continue"/>
            <w:vAlign w:val="center"/>
          </w:tcPr>
          <w:p>
            <w:pPr>
              <w:spacing w:line="440" w:lineRule="exact"/>
              <w:jc w:val="center"/>
              <w:rPr>
                <w:rFonts w:hint="default" w:ascii="Times New Roman" w:hAnsi="Times New Roman" w:eastAsia="宋体" w:cs="Times New Roman"/>
                <w:sz w:val="21"/>
                <w:szCs w:val="21"/>
              </w:rPr>
            </w:pPr>
          </w:p>
        </w:tc>
        <w:tc>
          <w:tcPr>
            <w:tcW w:w="3087" w:type="dxa"/>
            <w:vMerge w:val="continue"/>
            <w:vAlign w:val="center"/>
          </w:tcPr>
          <w:p>
            <w:pPr>
              <w:spacing w:line="440" w:lineRule="exact"/>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1</w:t>
            </w:r>
          </w:p>
        </w:tc>
        <w:tc>
          <w:tcPr>
            <w:tcW w:w="4544" w:type="dxa"/>
            <w:vAlign w:val="center"/>
          </w:tcPr>
          <w:p>
            <w:pPr>
              <w:spacing w:line="440" w:lineRule="exact"/>
              <w:ind w:left="-112" w:leftChars="-5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有效活菌数(cfu)</w:t>
            </w:r>
          </w:p>
        </w:tc>
        <w:tc>
          <w:tcPr>
            <w:tcW w:w="308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798-2004</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 884-2012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2</w:t>
            </w:r>
          </w:p>
        </w:tc>
        <w:tc>
          <w:tcPr>
            <w:tcW w:w="4544" w:type="dxa"/>
            <w:vAlign w:val="center"/>
          </w:tcPr>
          <w:p>
            <w:pPr>
              <w:spacing w:line="440" w:lineRule="exact"/>
              <w:ind w:left="1" w:right="-112" w:right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有机质（以干基计）</w:t>
            </w:r>
          </w:p>
        </w:tc>
        <w:tc>
          <w:tcPr>
            <w:tcW w:w="308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 525-2012</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 884-2012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3</w:t>
            </w:r>
          </w:p>
        </w:tc>
        <w:tc>
          <w:tcPr>
            <w:tcW w:w="4544" w:type="dxa"/>
            <w:vAlign w:val="center"/>
          </w:tcPr>
          <w:p>
            <w:pPr>
              <w:spacing w:line="440" w:lineRule="exact"/>
              <w:ind w:left="1" w:right="-112" w:right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水分</w:t>
            </w:r>
          </w:p>
        </w:tc>
        <w:tc>
          <w:tcPr>
            <w:tcW w:w="308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798-2004</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 884-2012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4</w:t>
            </w:r>
          </w:p>
        </w:tc>
        <w:tc>
          <w:tcPr>
            <w:tcW w:w="4544" w:type="dxa"/>
            <w:vAlign w:val="center"/>
          </w:tcPr>
          <w:p>
            <w:pPr>
              <w:spacing w:line="440" w:lineRule="exact"/>
              <w:ind w:left="1" w:right="-112" w:rightChars="-51"/>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p</w:t>
            </w:r>
            <w:r>
              <w:rPr>
                <w:rFonts w:hint="default" w:ascii="Times New Roman" w:hAnsi="Times New Roman" w:eastAsia="宋体" w:cs="Times New Roman"/>
                <w:sz w:val="21"/>
                <w:szCs w:val="21"/>
              </w:rPr>
              <w:t>H</w:t>
            </w:r>
          </w:p>
        </w:tc>
        <w:tc>
          <w:tcPr>
            <w:tcW w:w="308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798-2004</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 884-2012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5</w:t>
            </w:r>
          </w:p>
        </w:tc>
        <w:tc>
          <w:tcPr>
            <w:tcW w:w="4544" w:type="dxa"/>
            <w:vAlign w:val="center"/>
          </w:tcPr>
          <w:p>
            <w:pPr>
              <w:spacing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pacing w:val="4"/>
                <w:sz w:val="21"/>
                <w:szCs w:val="21"/>
                <w:lang w:eastAsia="zh-CN"/>
              </w:rPr>
              <w:t>总砷（As）</w:t>
            </w:r>
            <w:r>
              <w:rPr>
                <w:rFonts w:hint="default" w:ascii="Times New Roman" w:hAnsi="Times New Roman" w:eastAsia="宋体" w:cs="Times New Roman"/>
                <w:sz w:val="21"/>
                <w:szCs w:val="21"/>
                <w:lang w:eastAsia="zh-CN"/>
              </w:rPr>
              <w:t>（以干基计）</w:t>
            </w:r>
          </w:p>
        </w:tc>
        <w:tc>
          <w:tcPr>
            <w:tcW w:w="3087" w:type="dxa"/>
            <w:vMerge w:val="restart"/>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NY/T 1978-2010</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 884-2012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6</w:t>
            </w:r>
          </w:p>
        </w:tc>
        <w:tc>
          <w:tcPr>
            <w:tcW w:w="4544" w:type="dxa"/>
            <w:vAlign w:val="center"/>
          </w:tcPr>
          <w:p>
            <w:pPr>
              <w:spacing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pacing w:val="4"/>
                <w:sz w:val="21"/>
                <w:szCs w:val="21"/>
                <w:lang w:eastAsia="zh-CN"/>
              </w:rPr>
              <w:t>总汞（Hg）</w:t>
            </w:r>
            <w:r>
              <w:rPr>
                <w:rFonts w:hint="default" w:ascii="Times New Roman" w:hAnsi="Times New Roman" w:eastAsia="宋体" w:cs="Times New Roman"/>
                <w:sz w:val="21"/>
                <w:szCs w:val="21"/>
                <w:lang w:eastAsia="zh-CN"/>
              </w:rPr>
              <w:t>（以干基计）</w:t>
            </w:r>
          </w:p>
        </w:tc>
        <w:tc>
          <w:tcPr>
            <w:tcW w:w="3087" w:type="dxa"/>
            <w:vMerge w:val="continue"/>
            <w:vAlign w:val="center"/>
          </w:tcPr>
          <w:p>
            <w:pPr>
              <w:jc w:val="center"/>
              <w:rPr>
                <w:rFonts w:hint="default" w:ascii="Times New Roman" w:hAnsi="Times New Roman" w:eastAsia="宋体" w:cs="Times New Roman"/>
                <w:color w:val="000000"/>
                <w:kern w:val="2"/>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7</w:t>
            </w:r>
          </w:p>
        </w:tc>
        <w:tc>
          <w:tcPr>
            <w:tcW w:w="4544" w:type="dxa"/>
            <w:vAlign w:val="center"/>
          </w:tcPr>
          <w:p>
            <w:pPr>
              <w:spacing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总铅（Pb）（以干基计）</w:t>
            </w:r>
          </w:p>
        </w:tc>
        <w:tc>
          <w:tcPr>
            <w:tcW w:w="3087" w:type="dxa"/>
            <w:vMerge w:val="continue"/>
            <w:vAlign w:val="center"/>
          </w:tcPr>
          <w:p>
            <w:pPr>
              <w:jc w:val="center"/>
              <w:rPr>
                <w:rFonts w:hint="default" w:ascii="Times New Roman" w:hAnsi="Times New Roman" w:eastAsia="宋体" w:cs="Times New Roman"/>
                <w:color w:val="000000"/>
                <w:kern w:val="2"/>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8</w:t>
            </w:r>
          </w:p>
        </w:tc>
        <w:tc>
          <w:tcPr>
            <w:tcW w:w="4544" w:type="dxa"/>
            <w:vAlign w:val="center"/>
          </w:tcPr>
          <w:p>
            <w:pPr>
              <w:spacing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总镉（Cd）（以干基计）</w:t>
            </w:r>
          </w:p>
        </w:tc>
        <w:tc>
          <w:tcPr>
            <w:tcW w:w="3087" w:type="dxa"/>
            <w:vMerge w:val="continue"/>
            <w:vAlign w:val="center"/>
          </w:tcPr>
          <w:p>
            <w:pPr>
              <w:jc w:val="center"/>
              <w:rPr>
                <w:rFonts w:hint="default" w:ascii="Times New Roman" w:hAnsi="Times New Roman" w:eastAsia="宋体" w:cs="Times New Roman"/>
                <w:color w:val="000000"/>
                <w:kern w:val="2"/>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9</w:t>
            </w:r>
          </w:p>
        </w:tc>
        <w:tc>
          <w:tcPr>
            <w:tcW w:w="4544" w:type="dxa"/>
            <w:vAlign w:val="center"/>
          </w:tcPr>
          <w:p>
            <w:pPr>
              <w:spacing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pacing w:val="4"/>
                <w:sz w:val="21"/>
                <w:szCs w:val="21"/>
                <w:lang w:eastAsia="zh-CN"/>
              </w:rPr>
              <w:t>总铬（Cr）</w:t>
            </w:r>
            <w:r>
              <w:rPr>
                <w:rFonts w:hint="default" w:ascii="Times New Roman" w:hAnsi="Times New Roman" w:eastAsia="宋体" w:cs="Times New Roman"/>
                <w:sz w:val="21"/>
                <w:szCs w:val="21"/>
                <w:lang w:eastAsia="zh-CN"/>
              </w:rPr>
              <w:t>（以干基计）</w:t>
            </w:r>
          </w:p>
        </w:tc>
        <w:tc>
          <w:tcPr>
            <w:tcW w:w="3087" w:type="dxa"/>
            <w:vMerge w:val="continue"/>
            <w:vAlign w:val="center"/>
          </w:tcPr>
          <w:p>
            <w:pPr>
              <w:jc w:val="center"/>
              <w:rPr>
                <w:rFonts w:hint="default" w:ascii="Times New Roman" w:hAnsi="Times New Roman" w:eastAsia="宋体" w:cs="Times New Roman"/>
                <w:color w:val="000000"/>
                <w:kern w:val="2"/>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hint="default" w:ascii="Times New Roman" w:hAnsi="Times New Roman" w:eastAsia="宋体" w:cs="Times New Roman"/>
                <w:color w:val="000000"/>
                <w:kern w:val="2"/>
                <w:sz w:val="21"/>
                <w:szCs w:val="21"/>
                <w:highlight w:val="none"/>
                <w:lang w:eastAsia="zh-CN"/>
              </w:rPr>
            </w:pPr>
            <w:bookmarkStart w:id="0" w:name="_Hlk28257335"/>
            <w:r>
              <w:rPr>
                <w:rFonts w:hint="default" w:ascii="Times New Roman" w:hAnsi="Times New Roman" w:eastAsia="宋体" w:cs="Times New Roman"/>
                <w:color w:val="000000"/>
                <w:kern w:val="2"/>
                <w:sz w:val="21"/>
                <w:szCs w:val="21"/>
                <w:highlight w:val="none"/>
                <w:lang w:eastAsia="zh-CN"/>
              </w:rPr>
              <w:t>10</w:t>
            </w:r>
          </w:p>
        </w:tc>
        <w:tc>
          <w:tcPr>
            <w:tcW w:w="4544" w:type="dxa"/>
            <w:vAlign w:val="center"/>
          </w:tcPr>
          <w:p>
            <w:pPr>
              <w:widowControl/>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包装标识（总养分含量、名称中的禁用语</w:t>
            </w:r>
            <w:r>
              <w:rPr>
                <w:rFonts w:hint="default" w:ascii="Times New Roman" w:hAnsi="Times New Roman" w:eastAsia="宋体" w:cs="Times New Roman"/>
                <w:color w:val="auto"/>
                <w:sz w:val="21"/>
                <w:szCs w:val="21"/>
                <w:lang w:val="en-US" w:eastAsia="zh-CN"/>
              </w:rPr>
              <w:t>等</w:t>
            </w:r>
            <w:r>
              <w:rPr>
                <w:rFonts w:hint="default" w:ascii="Times New Roman" w:hAnsi="Times New Roman" w:eastAsia="宋体" w:cs="Times New Roman"/>
                <w:color w:val="auto"/>
                <w:sz w:val="21"/>
                <w:szCs w:val="21"/>
                <w:lang w:eastAsia="zh-CN"/>
              </w:rPr>
              <w:t>）</w:t>
            </w:r>
          </w:p>
        </w:tc>
        <w:tc>
          <w:tcPr>
            <w:tcW w:w="3087" w:type="dxa"/>
            <w:vAlign w:val="center"/>
          </w:tcPr>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GB 18382—2021</w:t>
            </w:r>
          </w:p>
          <w:p>
            <w:pPr>
              <w:jc w:val="center"/>
              <w:rPr>
                <w:rFonts w:hint="default" w:ascii="Times New Roman" w:hAnsi="Times New Roman" w:eastAsia="宋体" w:cs="Times New Roman"/>
                <w:color w:val="000000"/>
                <w:kern w:val="2"/>
                <w:sz w:val="21"/>
                <w:szCs w:val="21"/>
                <w:highlight w:val="none"/>
                <w:lang w:eastAsia="zh-CN"/>
              </w:rPr>
            </w:pPr>
            <w:r>
              <w:rPr>
                <w:rFonts w:hint="default" w:ascii="Times New Roman" w:hAnsi="Times New Roman" w:eastAsia="宋体" w:cs="Times New Roman"/>
                <w:color w:val="000000"/>
                <w:kern w:val="2"/>
                <w:sz w:val="21"/>
                <w:szCs w:val="21"/>
                <w:highlight w:val="none"/>
                <w:lang w:eastAsia="zh-CN"/>
              </w:rPr>
              <w:t>NY 884-2012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pStyle w:val="15"/>
              <w:rPr>
                <w:rFonts w:hint="default" w:ascii="Times New Roman" w:hAnsi="Times New Roman" w:eastAsia="宋体" w:cs="Times New Roman"/>
                <w:sz w:val="21"/>
                <w:szCs w:val="21"/>
                <w:lang w:val="en-US" w:eastAsia="zh-CN" w:bidi="ar-SA"/>
              </w:rPr>
            </w:pPr>
            <w:r>
              <w:rPr>
                <w:rFonts w:hint="default" w:ascii="Times New Roman" w:hAnsi="Times New Roman" w:cs="Times New Roman"/>
              </w:rPr>
              <w:t>说明</w:t>
            </w:r>
          </w:p>
        </w:tc>
        <w:tc>
          <w:tcPr>
            <w:tcW w:w="7631" w:type="dxa"/>
            <w:gridSpan w:val="2"/>
            <w:vAlign w:val="center"/>
          </w:tcPr>
          <w:p>
            <w:pPr>
              <w:widowControl/>
              <w:jc w:val="both"/>
              <w:rPr>
                <w:rFonts w:hint="default" w:ascii="Times New Roman" w:hAnsi="Times New Roman" w:eastAsia="宋体" w:cs="Times New Roman"/>
                <w:sz w:val="21"/>
                <w:szCs w:val="21"/>
                <w:lang w:val="en-US" w:eastAsia="zh-CN" w:bidi="ar-SA"/>
              </w:rPr>
            </w:pPr>
            <w:r>
              <w:rPr>
                <w:rFonts w:hint="default" w:ascii="Times New Roman" w:hAnsi="Times New Roman" w:cs="Times New Roman"/>
                <w:szCs w:val="21"/>
                <w:lang w:eastAsia="zh-CN"/>
              </w:rPr>
              <w:t>“</w:t>
            </w:r>
            <w:r>
              <w:rPr>
                <w:rFonts w:hint="default" w:ascii="Times New Roman" w:hAnsi="Times New Roman" w:eastAsia="宋体" w:cs="Times New Roman"/>
                <w:sz w:val="21"/>
                <w:szCs w:val="21"/>
                <w:lang w:eastAsia="zh-CN"/>
              </w:rPr>
              <w:t>有效活菌数</w:t>
            </w:r>
            <w:r>
              <w:rPr>
                <w:rFonts w:hint="default" w:ascii="Times New Roman" w:hAnsi="Times New Roman" w:cs="Times New Roman"/>
                <w:szCs w:val="21"/>
                <w:lang w:eastAsia="zh-CN"/>
              </w:rPr>
              <w:t>”</w:t>
            </w:r>
            <w:r>
              <w:rPr>
                <w:rFonts w:hint="default" w:ascii="Times New Roman" w:hAnsi="Times New Roman" w:eastAsia="宋体" w:cs="Times New Roman"/>
                <w:sz w:val="21"/>
                <w:szCs w:val="21"/>
                <w:lang w:eastAsia="zh-CN"/>
              </w:rPr>
              <w:t>项目不接受复检。</w:t>
            </w:r>
          </w:p>
        </w:tc>
      </w:tr>
    </w:tbl>
    <w:p>
      <w:pPr>
        <w:adjustRightInd w:val="0"/>
        <w:snapToGrid w:val="0"/>
        <w:spacing w:line="440" w:lineRule="exact"/>
        <w:ind w:firstLine="420" w:firstLineChars="2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执行企业标准、团体标准、地方标准的产品，检验项目参照上述内容执行。</w:t>
      </w:r>
    </w:p>
    <w:p>
      <w:pPr>
        <w:adjustRightInd w:val="0"/>
        <w:snapToGrid w:val="0"/>
        <w:spacing w:line="440" w:lineRule="exact"/>
        <w:ind w:firstLine="420" w:firstLineChars="2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凡是注日期的文件，其随后所有的修改单（不包括勘误的内容）或修订版不适用于本细则。凡是不注日期的文件，其最新版本适用于本细则。</w:t>
      </w:r>
      <w:bookmarkEnd w:id="0"/>
    </w:p>
    <w:p>
      <w:pPr>
        <w:adjustRightInd w:val="0"/>
        <w:snapToGrid w:val="0"/>
        <w:spacing w:line="440" w:lineRule="exact"/>
        <w:ind w:firstLine="420" w:firstLineChars="200"/>
        <w:rPr>
          <w:rFonts w:hint="default" w:ascii="Times New Roman" w:hAnsi="Times New Roman" w:eastAsia="宋体" w:cs="Times New Roman"/>
          <w:color w:val="000000"/>
          <w:sz w:val="21"/>
          <w:szCs w:val="21"/>
          <w:lang w:eastAsia="zh-CN"/>
        </w:rPr>
      </w:pPr>
    </w:p>
    <w:p>
      <w:pPr>
        <w:snapToGrid w:val="0"/>
        <w:spacing w:line="440" w:lineRule="exact"/>
        <w:jc w:val="both"/>
        <w:rPr>
          <w:rFonts w:hint="default" w:ascii="Times New Roman" w:hAnsi="Times New Roman" w:eastAsia="黑体" w:cs="Times New Roman"/>
          <w:color w:val="000000"/>
          <w:kern w:val="2"/>
          <w:sz w:val="21"/>
          <w:szCs w:val="21"/>
          <w:lang w:eastAsia="zh-CN"/>
        </w:rPr>
      </w:pPr>
      <w:r>
        <w:rPr>
          <w:rFonts w:hint="default" w:ascii="Times New Roman" w:hAnsi="Times New Roman" w:eastAsia="黑体" w:cs="Times New Roman"/>
          <w:color w:val="000000"/>
          <w:kern w:val="2"/>
          <w:sz w:val="21"/>
          <w:szCs w:val="21"/>
          <w:lang w:eastAsia="zh-CN"/>
        </w:rPr>
        <w:t>3 判定规则</w:t>
      </w:r>
    </w:p>
    <w:p>
      <w:pPr>
        <w:snapToGrid w:val="0"/>
        <w:spacing w:line="440" w:lineRule="exact"/>
        <w:rPr>
          <w:rFonts w:hint="default" w:ascii="Times New Roman" w:hAnsi="Times New Roman" w:eastAsia="宋体" w:cs="Times New Roman"/>
          <w:bCs/>
          <w:color w:val="000000"/>
          <w:sz w:val="21"/>
          <w:szCs w:val="21"/>
          <w:lang w:eastAsia="zh-CN"/>
        </w:rPr>
      </w:pPr>
      <w:r>
        <w:rPr>
          <w:rFonts w:hint="default" w:ascii="Times New Roman" w:hAnsi="Times New Roman" w:eastAsia="宋体" w:cs="Times New Roman"/>
          <w:color w:val="000000"/>
          <w:sz w:val="21"/>
          <w:szCs w:val="21"/>
          <w:lang w:eastAsia="zh-CN"/>
        </w:rPr>
        <w:t>3.1依据标准</w:t>
      </w:r>
    </w:p>
    <w:p>
      <w:pPr>
        <w:snapToGrid w:val="0"/>
        <w:spacing w:line="440" w:lineRule="exact"/>
        <w:ind w:firstLine="420" w:firstLineChars="200"/>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kern w:val="2"/>
          <w:sz w:val="21"/>
          <w:szCs w:val="21"/>
          <w:highlight w:val="none"/>
          <w:lang w:eastAsia="zh-CN"/>
        </w:rPr>
        <w:t xml:space="preserve">NY/T 525-2021 </w:t>
      </w:r>
      <w:r>
        <w:rPr>
          <w:rFonts w:hint="default" w:ascii="Times New Roman" w:hAnsi="Times New Roman" w:eastAsia="宋体" w:cs="Times New Roman"/>
          <w:sz w:val="21"/>
          <w:szCs w:val="21"/>
          <w:lang w:eastAsia="zh-CN"/>
        </w:rPr>
        <w:t xml:space="preserve"> 有机肥料</w:t>
      </w:r>
    </w:p>
    <w:p>
      <w:pPr>
        <w:snapToGrid w:val="0"/>
        <w:spacing w:line="440" w:lineRule="exact"/>
        <w:ind w:firstLine="420" w:firstLineChars="200"/>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kern w:val="2"/>
          <w:sz w:val="21"/>
          <w:szCs w:val="21"/>
          <w:highlight w:val="none"/>
          <w:lang w:eastAsia="zh-CN"/>
        </w:rPr>
        <w:t>NY/T 798-2015</w:t>
      </w:r>
      <w:r>
        <w:rPr>
          <w:rFonts w:hint="default" w:ascii="Times New Roman" w:hAnsi="Times New Roman" w:eastAsia="宋体" w:cs="Times New Roman"/>
          <w:color w:val="000000"/>
          <w:kern w:val="2"/>
          <w:sz w:val="21"/>
          <w:szCs w:val="21"/>
          <w:highlight w:val="none"/>
          <w:lang w:val="en-US" w:eastAsia="zh-CN"/>
        </w:rPr>
        <w:t xml:space="preserve">  </w:t>
      </w:r>
      <w:r>
        <w:rPr>
          <w:rFonts w:hint="default" w:ascii="Times New Roman" w:hAnsi="Times New Roman" w:eastAsia="宋体" w:cs="Times New Roman"/>
          <w:sz w:val="21"/>
          <w:szCs w:val="21"/>
          <w:lang w:eastAsia="zh-CN"/>
        </w:rPr>
        <w:t>复合微生物肥料</w:t>
      </w:r>
    </w:p>
    <w:p>
      <w:pPr>
        <w:snapToGrid w:val="0"/>
        <w:spacing w:line="440" w:lineRule="exact"/>
        <w:ind w:firstLine="420" w:firstLineChars="200"/>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kern w:val="2"/>
          <w:sz w:val="21"/>
          <w:szCs w:val="21"/>
          <w:highlight w:val="none"/>
          <w:lang w:eastAsia="zh-CN"/>
        </w:rPr>
        <w:t xml:space="preserve">NY 884-2012 </w:t>
      </w:r>
      <w:r>
        <w:rPr>
          <w:rFonts w:hint="default" w:ascii="Times New Roman" w:hAnsi="Times New Roman" w:eastAsia="宋体" w:cs="Times New Roman"/>
          <w:color w:val="000000"/>
          <w:kern w:val="2"/>
          <w:sz w:val="21"/>
          <w:szCs w:val="21"/>
          <w:highlight w:val="none"/>
          <w:lang w:val="en-US" w:eastAsia="zh-CN"/>
        </w:rPr>
        <w:t xml:space="preserve"> </w:t>
      </w:r>
      <w:r>
        <w:rPr>
          <w:rFonts w:hint="default" w:ascii="Times New Roman" w:hAnsi="Times New Roman" w:eastAsia="宋体" w:cs="Times New Roman"/>
          <w:sz w:val="21"/>
          <w:szCs w:val="21"/>
          <w:lang w:eastAsia="zh-CN"/>
        </w:rPr>
        <w:t>生物有机肥</w:t>
      </w:r>
    </w:p>
    <w:p>
      <w:pPr>
        <w:snapToGrid w:val="0"/>
        <w:spacing w:line="440" w:lineRule="exact"/>
        <w:ind w:firstLine="420" w:firstLineChars="200"/>
        <w:rPr>
          <w:rFonts w:hint="default" w:ascii="Times New Roman" w:hAnsi="Times New Roman" w:eastAsia="宋体" w:cs="Times New Roman"/>
          <w:color w:val="auto"/>
          <w:kern w:val="2"/>
          <w:sz w:val="21"/>
          <w:szCs w:val="21"/>
          <w:highlight w:val="none"/>
          <w:lang w:eastAsia="zh-CN"/>
        </w:rPr>
      </w:pPr>
      <w:r>
        <w:rPr>
          <w:rFonts w:hint="default" w:ascii="Times New Roman" w:hAnsi="Times New Roman" w:eastAsia="宋体" w:cs="Times New Roman"/>
          <w:color w:val="auto"/>
          <w:kern w:val="2"/>
          <w:sz w:val="21"/>
          <w:szCs w:val="21"/>
          <w:highlight w:val="none"/>
          <w:lang w:eastAsia="zh-CN"/>
        </w:rPr>
        <w:t>GB 18382—2021 肥料标识 内容和要求</w:t>
      </w:r>
    </w:p>
    <w:p>
      <w:pPr>
        <w:snapToGrid w:val="0"/>
        <w:spacing w:line="440" w:lineRule="exact"/>
        <w:ind w:firstLine="420" w:firstLineChars="200"/>
        <w:rPr>
          <w:rFonts w:hint="default" w:ascii="Times New Roman" w:hAnsi="Times New Roman" w:eastAsia="宋体" w:cs="Times New Roman"/>
          <w:color w:val="auto"/>
          <w:kern w:val="2"/>
          <w:sz w:val="21"/>
          <w:szCs w:val="21"/>
          <w:highlight w:val="none"/>
          <w:lang w:eastAsia="zh-CN"/>
        </w:rPr>
      </w:pPr>
      <w:r>
        <w:rPr>
          <w:rFonts w:hint="default" w:ascii="Times New Roman" w:hAnsi="Times New Roman" w:eastAsia="宋体" w:cs="Times New Roman"/>
          <w:color w:val="auto"/>
          <w:kern w:val="2"/>
          <w:sz w:val="21"/>
          <w:szCs w:val="21"/>
          <w:highlight w:val="none"/>
          <w:lang w:eastAsia="zh-CN"/>
        </w:rPr>
        <w:t>GB 38400—2019 肥料中有毒有害物质的限量要求</w:t>
      </w:r>
    </w:p>
    <w:p>
      <w:pPr>
        <w:pStyle w:val="18"/>
        <w:spacing w:line="440" w:lineRule="exact"/>
        <w:ind w:firstLine="424"/>
        <w:rPr>
          <w:rFonts w:hint="default" w:ascii="Times New Roman" w:hAnsi="Times New Roman" w:eastAsia="宋体" w:cs="Times New Roman"/>
          <w:snapToGrid/>
          <w:spacing w:val="0"/>
          <w:sz w:val="21"/>
          <w:szCs w:val="21"/>
          <w:lang w:val="en-US" w:eastAsia="zh-CN" w:bidi="ar-SA"/>
        </w:rPr>
      </w:pPr>
      <w:r>
        <w:rPr>
          <w:rFonts w:hint="default" w:ascii="Times New Roman" w:hAnsi="Times New Roman" w:eastAsia="宋体" w:cs="Times New Roman"/>
          <w:snapToGrid/>
          <w:spacing w:val="0"/>
          <w:sz w:val="21"/>
          <w:szCs w:val="21"/>
          <w:lang w:val="en-US" w:eastAsia="zh-CN" w:bidi="ar-SA"/>
        </w:rPr>
        <w:t>现行有效的企业标准、团体标准、地方标准及产品明示质量要求</w:t>
      </w:r>
    </w:p>
    <w:p>
      <w:pPr>
        <w:snapToGrid w:val="0"/>
        <w:spacing w:line="440" w:lineRule="exact"/>
        <w:rPr>
          <w:rFonts w:hint="default" w:ascii="Times New Roman" w:hAnsi="Times New Roman" w:cs="Times New Roman" w:eastAsiaTheme="minorEastAsia"/>
          <w:color w:val="000000"/>
          <w:sz w:val="21"/>
          <w:szCs w:val="21"/>
          <w:lang w:eastAsia="zh-CN"/>
        </w:rPr>
      </w:pPr>
      <w:r>
        <w:rPr>
          <w:rFonts w:hint="default" w:ascii="Times New Roman" w:hAnsi="Times New Roman" w:cs="Times New Roman" w:eastAsiaTheme="minorEastAsia"/>
          <w:color w:val="000000"/>
          <w:sz w:val="21"/>
          <w:szCs w:val="21"/>
          <w:lang w:eastAsia="zh-CN"/>
        </w:rPr>
        <w:t>3.2判定原则</w:t>
      </w:r>
    </w:p>
    <w:p>
      <w:pPr>
        <w:snapToGrid w:val="0"/>
        <w:spacing w:line="440" w:lineRule="exact"/>
        <w:ind w:firstLine="420" w:firstLineChars="200"/>
        <w:rPr>
          <w:rFonts w:hint="default" w:ascii="Times New Roman" w:hAnsi="Times New Roman" w:cs="Times New Roman" w:eastAsiaTheme="minorEastAsia"/>
          <w:color w:val="000000"/>
          <w:sz w:val="21"/>
          <w:szCs w:val="21"/>
          <w:lang w:eastAsia="zh-CN"/>
        </w:rPr>
      </w:pPr>
      <w:r>
        <w:rPr>
          <w:rFonts w:hint="default" w:ascii="Times New Roman" w:hAnsi="Times New Roman" w:cs="Times New Roman" w:eastAsiaTheme="minorEastAsia"/>
          <w:color w:val="000000"/>
          <w:sz w:val="21"/>
          <w:szCs w:val="21"/>
          <w:lang w:eastAsia="zh-CN"/>
        </w:rPr>
        <w:t>经检验，检验项目全部合格，判定为被抽查产品所检项目未发现不合格；检验项目中任一项或一项以上不合格，判定为被抽查产品不合格。其中</w:t>
      </w:r>
      <w:r>
        <w:rPr>
          <w:rFonts w:hint="default" w:ascii="Times New Roman" w:hAnsi="Times New Roman" w:cs="Times New Roman" w:eastAsiaTheme="minorEastAsia"/>
          <w:iCs/>
          <w:sz w:val="21"/>
          <w:szCs w:val="21"/>
          <w:lang w:eastAsia="zh-CN"/>
        </w:rPr>
        <w:t>生物有机肥按照产品标准中判定规则</w:t>
      </w:r>
      <w:r>
        <w:rPr>
          <w:rFonts w:hint="default" w:ascii="Times New Roman" w:hAnsi="Times New Roman" w:cs="Times New Roman" w:eastAsiaTheme="minorEastAsia"/>
          <w:color w:val="000000"/>
          <w:sz w:val="21"/>
          <w:szCs w:val="21"/>
          <w:lang w:eastAsia="zh-CN"/>
        </w:rPr>
        <w:t>的</w:t>
      </w:r>
      <w:r>
        <w:rPr>
          <w:rFonts w:hint="default" w:ascii="Times New Roman" w:hAnsi="Times New Roman" w:cs="Times New Roman" w:eastAsiaTheme="minorEastAsia"/>
          <w:iCs/>
          <w:sz w:val="21"/>
          <w:szCs w:val="21"/>
          <w:lang w:eastAsia="zh-CN"/>
        </w:rPr>
        <w:t>要求进行</w:t>
      </w:r>
      <w:r>
        <w:rPr>
          <w:rFonts w:hint="default" w:ascii="Times New Roman" w:hAnsi="Times New Roman" w:cs="Times New Roman" w:eastAsiaTheme="minorEastAsia"/>
          <w:color w:val="000000"/>
          <w:sz w:val="21"/>
          <w:szCs w:val="21"/>
          <w:lang w:eastAsia="zh-CN"/>
        </w:rPr>
        <w:t>判定。</w:t>
      </w:r>
    </w:p>
    <w:p>
      <w:pPr>
        <w:snapToGrid w:val="0"/>
        <w:spacing w:line="440" w:lineRule="exact"/>
        <w:ind w:firstLine="420" w:firstLineChars="200"/>
        <w:rPr>
          <w:rFonts w:hint="default" w:ascii="Times New Roman" w:hAnsi="Times New Roman" w:cs="Times New Roman" w:eastAsiaTheme="minorEastAsia"/>
          <w:color w:val="000000"/>
          <w:sz w:val="21"/>
          <w:szCs w:val="21"/>
          <w:lang w:eastAsia="zh-CN"/>
        </w:rPr>
      </w:pPr>
      <w:r>
        <w:rPr>
          <w:rFonts w:hint="default" w:ascii="Times New Roman" w:hAnsi="Times New Roman" w:cs="Times New Roman" w:eastAsiaTheme="minorEastAsia"/>
          <w:color w:val="000000"/>
          <w:sz w:val="21"/>
          <w:szCs w:val="21"/>
          <w:lang w:eastAsia="zh-CN"/>
        </w:rPr>
        <w:t>若被检产品明示的质量要求高于本细则中检验项目依据的标准要求时，应按被检产品明示的质量要求判定。</w:t>
      </w:r>
    </w:p>
    <w:p>
      <w:pPr>
        <w:snapToGrid w:val="0"/>
        <w:spacing w:line="440" w:lineRule="exact"/>
        <w:ind w:firstLine="420" w:firstLineChars="200"/>
        <w:rPr>
          <w:rFonts w:hint="default" w:ascii="Times New Roman" w:hAnsi="Times New Roman" w:cs="Times New Roman" w:eastAsiaTheme="minorEastAsia"/>
          <w:color w:val="000000"/>
          <w:sz w:val="21"/>
          <w:szCs w:val="21"/>
          <w:lang w:eastAsia="zh-CN"/>
        </w:rPr>
      </w:pPr>
      <w:r>
        <w:rPr>
          <w:rFonts w:hint="default" w:ascii="Times New Roman" w:hAnsi="Times New Roman" w:cs="Times New Roman" w:eastAsiaTheme="minorEastAsia"/>
          <w:color w:val="000000"/>
          <w:sz w:val="21"/>
          <w:szCs w:val="21"/>
          <w:lang w:eastAsia="zh-CN"/>
        </w:rPr>
        <w:t>若被检产品明示的质量要求低于本细则中检验项目依据的强制性标准要求时，应按照强制性标准要求判定。</w:t>
      </w:r>
    </w:p>
    <w:p>
      <w:pPr>
        <w:snapToGrid w:val="0"/>
        <w:spacing w:line="440" w:lineRule="exact"/>
        <w:ind w:firstLine="420" w:firstLineChars="200"/>
        <w:rPr>
          <w:rFonts w:hint="default" w:ascii="Times New Roman" w:hAnsi="Times New Roman" w:cs="Times New Roman" w:eastAsiaTheme="minorEastAsia"/>
          <w:color w:val="000000"/>
          <w:sz w:val="21"/>
          <w:szCs w:val="21"/>
          <w:lang w:eastAsia="zh-CN"/>
        </w:rPr>
      </w:pPr>
      <w:r>
        <w:rPr>
          <w:rFonts w:hint="default" w:ascii="Times New Roman" w:hAnsi="Times New Roman" w:cs="Times New Roman" w:eastAsiaTheme="minorEastAsia"/>
          <w:color w:val="000000"/>
          <w:sz w:val="21"/>
          <w:szCs w:val="21"/>
          <w:lang w:eastAsia="zh-CN"/>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hint="default" w:ascii="Times New Roman" w:hAnsi="Times New Roman" w:cs="Times New Roman" w:eastAsiaTheme="minorEastAsia"/>
          <w:color w:val="000000"/>
          <w:sz w:val="21"/>
          <w:szCs w:val="21"/>
          <w:lang w:eastAsia="zh-CN"/>
        </w:rPr>
      </w:pPr>
      <w:r>
        <w:rPr>
          <w:rFonts w:hint="default" w:ascii="Times New Roman" w:hAnsi="Times New Roman" w:cs="Times New Roman" w:eastAsiaTheme="minorEastAsia"/>
          <w:color w:val="000000"/>
          <w:sz w:val="21"/>
          <w:szCs w:val="21"/>
          <w:lang w:eastAsia="zh-CN"/>
        </w:rPr>
        <w:t>若被检产品明示的质量要求缺少本细则中检验项目依据的强制性标准要求时，应按照强制性标准要求判定。</w:t>
      </w:r>
    </w:p>
    <w:p>
      <w:pPr>
        <w:snapToGrid w:val="0"/>
        <w:spacing w:line="440" w:lineRule="exact"/>
        <w:ind w:firstLine="420" w:firstLineChars="200"/>
        <w:rPr>
          <w:rFonts w:hint="default" w:ascii="Times New Roman" w:hAnsi="Times New Roman" w:cs="Times New Roman" w:eastAsiaTheme="minorEastAsia"/>
          <w:color w:val="000000"/>
          <w:sz w:val="21"/>
          <w:szCs w:val="21"/>
          <w:lang w:eastAsia="zh-CN"/>
        </w:rPr>
      </w:pPr>
      <w:r>
        <w:rPr>
          <w:rFonts w:hint="default" w:ascii="Times New Roman" w:hAnsi="Times New Roman" w:cs="Times New Roman" w:eastAsiaTheme="minorEastAsia"/>
          <w:color w:val="000000"/>
          <w:sz w:val="21"/>
          <w:szCs w:val="21"/>
          <w:lang w:eastAsia="zh-CN"/>
        </w:rPr>
        <w:t>若被检产品明示的质量要求缺少本细则中检验项目依据的推荐性标准要求时，该项目不参与判定。</w:t>
      </w:r>
    </w:p>
    <w:p>
      <w:pPr>
        <w:snapToGrid w:val="0"/>
        <w:spacing w:line="440" w:lineRule="exact"/>
        <w:ind w:firstLine="420" w:firstLineChars="200"/>
        <w:rPr>
          <w:rFonts w:hint="default" w:ascii="Times New Roman" w:hAnsi="Times New Roman" w:cs="Times New Roman" w:eastAsiaTheme="minorEastAsia"/>
          <w:color w:val="000000"/>
          <w:sz w:val="21"/>
          <w:szCs w:val="21"/>
          <w:lang w:eastAsia="zh-CN"/>
        </w:rPr>
      </w:pPr>
    </w:p>
    <w:p>
      <w:pPr>
        <w:snapToGrid w:val="0"/>
        <w:spacing w:line="44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4 附则</w:t>
      </w:r>
    </w:p>
    <w:p>
      <w:pPr>
        <w:pStyle w:val="18"/>
        <w:spacing w:line="440" w:lineRule="exact"/>
        <w:ind w:firstLine="424"/>
        <w:jc w:val="both"/>
        <w:rPr>
          <w:rFonts w:hint="default" w:ascii="Times New Roman" w:hAnsi="Times New Roman" w:eastAsia="宋体" w:cs="Times New Roman"/>
          <w:snapToGrid/>
          <w:spacing w:val="0"/>
          <w:sz w:val="21"/>
          <w:szCs w:val="21"/>
          <w:lang w:val="en-US" w:eastAsia="zh-CN" w:bidi="ar-SA"/>
        </w:rPr>
      </w:pPr>
      <w:r>
        <w:rPr>
          <w:rFonts w:hint="default" w:ascii="Times New Roman" w:hAnsi="Times New Roman" w:eastAsia="宋体" w:cs="Times New Roman"/>
          <w:snapToGrid/>
          <w:spacing w:val="0"/>
          <w:sz w:val="21"/>
          <w:szCs w:val="21"/>
          <w:lang w:val="en-US" w:eastAsia="zh-CN" w:bidi="ar-SA"/>
        </w:rPr>
        <w:t>本细则代替《贵州省市场监督管理局关于发布贵州省2025年版安抚奶嘴等186种产品质量监督抽查实施细则的通告》中的《贵州省有机类肥料产品质量监督抽查实施细则（2025年版）》。</w:t>
      </w:r>
    </w:p>
    <w:p>
      <w:pPr>
        <w:snapToGrid w:val="0"/>
        <w:spacing w:line="440" w:lineRule="exact"/>
        <w:rPr>
          <w:rFonts w:hint="default" w:ascii="Times New Roman" w:hAnsi="Times New Roman" w:eastAsia="宋体" w:cs="Times New Roman"/>
          <w:color w:val="000000"/>
          <w:sz w:val="21"/>
          <w:szCs w:val="21"/>
          <w:lang w:eastAsia="zh-CN"/>
        </w:rPr>
      </w:pPr>
    </w:p>
    <w:p>
      <w:pPr>
        <w:snapToGrid w:val="0"/>
        <w:spacing w:line="440" w:lineRule="exact"/>
        <w:ind w:firstLine="440" w:firstLineChars="200"/>
        <w:rPr>
          <w:rFonts w:hint="default" w:ascii="Times New Roman" w:hAnsi="Times New Roman" w:cs="Times New Roman" w:eastAsiaTheme="minorEastAsia"/>
          <w:lang w:eastAsia="zh-CN"/>
        </w:rPr>
      </w:pPr>
    </w:p>
    <w:sectPr>
      <w:headerReference r:id="rId3" w:type="default"/>
      <w:footerReference r:id="rId4" w:type="default"/>
      <w:pgSz w:w="11910" w:h="16840"/>
      <w:pgMar w:top="1440" w:right="1800" w:bottom="1440" w:left="1800" w:header="879" w:footer="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Microsoft JhengHei">
    <w:altName w:val="方正书宋_GBK"/>
    <w:panose1 w:val="020B0604030504040204"/>
    <w:charset w:val="88"/>
    <w:family w:val="swiss"/>
    <w:pitch w:val="default"/>
    <w:sig w:usb0="00000000" w:usb1="00000000" w:usb2="00000016" w:usb3="00000000" w:csb0="00100009" w:csb1="00000000"/>
  </w:font>
  <w:font w:name="汉鼎简书宋二">
    <w:altName w:val="方正书宋_GBK"/>
    <w:panose1 w:val="00000000000000000000"/>
    <w:charset w:val="86"/>
    <w:family w:val="modern"/>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w:t>
                          </w:r>
                          <w:r>
                            <w:rPr>
                              <w:rFonts w:hint="eastAsia" w:eastAsia="宋体"/>
                              <w:lang w:eastAsia="zh-CN"/>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WAAAAZHJzL1BLAQIU&#10;ABQAAAAIAIdO4kDOqXm5zwAAAAUBAAAPAAAAAAAAAAEAIAAAADgAAABkcnMvZG93bnJldi54bWxQ&#10;SwECFAAUAAAACACHTuJAdPhfpLEBAABOAwAADgAAAAAAAAABACAAAAA0AQAAZHJzL2Uyb0RvYy54&#10;bWxQSwUGAAAAAAYABgBZAQAAVwUAAAAA&#10;">
              <v:fill on="f" focussize="0,0"/>
              <v:stroke on="f"/>
              <v:imagedata o:title=""/>
              <o:lock v:ext="edit" aspectratio="f"/>
              <v:textbox inset="0mm,0mm,0mm,0mm" style="mso-fit-shape-to-text:t;">
                <w:txbxContent>
                  <w:p>
                    <w:pPr>
                      <w:pStyle w:val="7"/>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w:t>
                    </w:r>
                    <w:r>
                      <w:rPr>
                        <w:rFonts w:hint="eastAsia" w:eastAsia="宋体"/>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6128"/>
      </w:tabs>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605519"/>
    <w:multiLevelType w:val="multilevel"/>
    <w:tmpl w:val="6560551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hMWU5NzcwYzc1MzE4NTUwMjc3NWI2NmY2YmY4Y2MifQ=="/>
  </w:docVars>
  <w:rsids>
    <w:rsidRoot w:val="0049067F"/>
    <w:rsid w:val="000311D5"/>
    <w:rsid w:val="000B042F"/>
    <w:rsid w:val="000C2A35"/>
    <w:rsid w:val="000D667F"/>
    <w:rsid w:val="000E4E2C"/>
    <w:rsid w:val="00106493"/>
    <w:rsid w:val="00126832"/>
    <w:rsid w:val="00146C00"/>
    <w:rsid w:val="00154843"/>
    <w:rsid w:val="00161E34"/>
    <w:rsid w:val="00164070"/>
    <w:rsid w:val="0019332A"/>
    <w:rsid w:val="001E59E7"/>
    <w:rsid w:val="00210EA7"/>
    <w:rsid w:val="0022655C"/>
    <w:rsid w:val="00255CE6"/>
    <w:rsid w:val="0027285E"/>
    <w:rsid w:val="00277C30"/>
    <w:rsid w:val="002B6934"/>
    <w:rsid w:val="002D7593"/>
    <w:rsid w:val="00322859"/>
    <w:rsid w:val="00347395"/>
    <w:rsid w:val="003A1B3F"/>
    <w:rsid w:val="003F421D"/>
    <w:rsid w:val="003F7FCE"/>
    <w:rsid w:val="004001A8"/>
    <w:rsid w:val="00405A90"/>
    <w:rsid w:val="00422C77"/>
    <w:rsid w:val="00434FFF"/>
    <w:rsid w:val="004372DC"/>
    <w:rsid w:val="00450DD1"/>
    <w:rsid w:val="00463E18"/>
    <w:rsid w:val="0049067F"/>
    <w:rsid w:val="00493C26"/>
    <w:rsid w:val="005343D8"/>
    <w:rsid w:val="00552052"/>
    <w:rsid w:val="00566800"/>
    <w:rsid w:val="00573C52"/>
    <w:rsid w:val="00583DAC"/>
    <w:rsid w:val="005958DF"/>
    <w:rsid w:val="00651DE1"/>
    <w:rsid w:val="0065789A"/>
    <w:rsid w:val="00694770"/>
    <w:rsid w:val="00703929"/>
    <w:rsid w:val="007334E6"/>
    <w:rsid w:val="00761659"/>
    <w:rsid w:val="007C3FB4"/>
    <w:rsid w:val="008164B2"/>
    <w:rsid w:val="00817831"/>
    <w:rsid w:val="00830E89"/>
    <w:rsid w:val="0083713F"/>
    <w:rsid w:val="00865095"/>
    <w:rsid w:val="0087493E"/>
    <w:rsid w:val="0088278A"/>
    <w:rsid w:val="008860BC"/>
    <w:rsid w:val="008D351B"/>
    <w:rsid w:val="008E1A2D"/>
    <w:rsid w:val="008E792B"/>
    <w:rsid w:val="00954A0C"/>
    <w:rsid w:val="009D18F2"/>
    <w:rsid w:val="009D3D88"/>
    <w:rsid w:val="00A3168A"/>
    <w:rsid w:val="00A56FE6"/>
    <w:rsid w:val="00A81BA5"/>
    <w:rsid w:val="00A922ED"/>
    <w:rsid w:val="00A93F99"/>
    <w:rsid w:val="00AC151D"/>
    <w:rsid w:val="00AD3D86"/>
    <w:rsid w:val="00B6277E"/>
    <w:rsid w:val="00BF76F0"/>
    <w:rsid w:val="00C70EE3"/>
    <w:rsid w:val="00C94A76"/>
    <w:rsid w:val="00CD66A7"/>
    <w:rsid w:val="00D075F9"/>
    <w:rsid w:val="00D47E0E"/>
    <w:rsid w:val="00D52B7B"/>
    <w:rsid w:val="00D56384"/>
    <w:rsid w:val="00D95BEE"/>
    <w:rsid w:val="00DA07B5"/>
    <w:rsid w:val="00DA33DD"/>
    <w:rsid w:val="00DE201F"/>
    <w:rsid w:val="00DF4094"/>
    <w:rsid w:val="00E10CD3"/>
    <w:rsid w:val="00E375B5"/>
    <w:rsid w:val="00E54F35"/>
    <w:rsid w:val="00E636C6"/>
    <w:rsid w:val="00E91ED5"/>
    <w:rsid w:val="00E96A71"/>
    <w:rsid w:val="00EF6FC9"/>
    <w:rsid w:val="00F22C09"/>
    <w:rsid w:val="00F2757B"/>
    <w:rsid w:val="00F43FBF"/>
    <w:rsid w:val="00F47C94"/>
    <w:rsid w:val="00F662DC"/>
    <w:rsid w:val="00F774D0"/>
    <w:rsid w:val="00FE0A4F"/>
    <w:rsid w:val="00FE13A1"/>
    <w:rsid w:val="00FE7020"/>
    <w:rsid w:val="03FA4238"/>
    <w:rsid w:val="05D21A85"/>
    <w:rsid w:val="06322BE1"/>
    <w:rsid w:val="0768118C"/>
    <w:rsid w:val="079F6750"/>
    <w:rsid w:val="09E068AE"/>
    <w:rsid w:val="09F71B4A"/>
    <w:rsid w:val="0A867E07"/>
    <w:rsid w:val="0B607365"/>
    <w:rsid w:val="0BC12B40"/>
    <w:rsid w:val="0D204630"/>
    <w:rsid w:val="0D2A41B0"/>
    <w:rsid w:val="0D5C1E19"/>
    <w:rsid w:val="0E294CA4"/>
    <w:rsid w:val="11475EFA"/>
    <w:rsid w:val="12E91CC3"/>
    <w:rsid w:val="13A17D3C"/>
    <w:rsid w:val="13B479D8"/>
    <w:rsid w:val="14877304"/>
    <w:rsid w:val="15570C41"/>
    <w:rsid w:val="1A12519D"/>
    <w:rsid w:val="1A8350E5"/>
    <w:rsid w:val="1D134327"/>
    <w:rsid w:val="1D923D10"/>
    <w:rsid w:val="1F245419"/>
    <w:rsid w:val="1FD6221F"/>
    <w:rsid w:val="20B47CF3"/>
    <w:rsid w:val="2188185F"/>
    <w:rsid w:val="218C51F2"/>
    <w:rsid w:val="2191408B"/>
    <w:rsid w:val="21DF5874"/>
    <w:rsid w:val="2449692E"/>
    <w:rsid w:val="247F1054"/>
    <w:rsid w:val="24DD349B"/>
    <w:rsid w:val="2581542A"/>
    <w:rsid w:val="265674BA"/>
    <w:rsid w:val="28117972"/>
    <w:rsid w:val="2B433416"/>
    <w:rsid w:val="2B560B43"/>
    <w:rsid w:val="2B8200E9"/>
    <w:rsid w:val="2CAA5EBB"/>
    <w:rsid w:val="2EA0137A"/>
    <w:rsid w:val="2FF563EE"/>
    <w:rsid w:val="315A4A13"/>
    <w:rsid w:val="32192E71"/>
    <w:rsid w:val="322C2B5F"/>
    <w:rsid w:val="32ED3B2A"/>
    <w:rsid w:val="35D16F5C"/>
    <w:rsid w:val="368702DF"/>
    <w:rsid w:val="37C46D80"/>
    <w:rsid w:val="382548F9"/>
    <w:rsid w:val="38411143"/>
    <w:rsid w:val="38B136B8"/>
    <w:rsid w:val="3963440D"/>
    <w:rsid w:val="3D0663C3"/>
    <w:rsid w:val="3E1D0B40"/>
    <w:rsid w:val="3E570F53"/>
    <w:rsid w:val="405C4287"/>
    <w:rsid w:val="40964A7D"/>
    <w:rsid w:val="412B2142"/>
    <w:rsid w:val="41EE25C1"/>
    <w:rsid w:val="43F36F4F"/>
    <w:rsid w:val="44EF59E1"/>
    <w:rsid w:val="46BB10E9"/>
    <w:rsid w:val="47191ABE"/>
    <w:rsid w:val="48EF38D4"/>
    <w:rsid w:val="4CCE693E"/>
    <w:rsid w:val="4CE3082D"/>
    <w:rsid w:val="4D3E6EC0"/>
    <w:rsid w:val="4E2D512B"/>
    <w:rsid w:val="4FAF7E06"/>
    <w:rsid w:val="52D85814"/>
    <w:rsid w:val="55CA5A7E"/>
    <w:rsid w:val="568506C2"/>
    <w:rsid w:val="57110F40"/>
    <w:rsid w:val="57C27AA0"/>
    <w:rsid w:val="5966073E"/>
    <w:rsid w:val="59CA4027"/>
    <w:rsid w:val="5AD10F6D"/>
    <w:rsid w:val="5BBBB853"/>
    <w:rsid w:val="5BD41C03"/>
    <w:rsid w:val="5DE05B67"/>
    <w:rsid w:val="5DEFB6EA"/>
    <w:rsid w:val="5EB320EC"/>
    <w:rsid w:val="608C5201"/>
    <w:rsid w:val="60F3ED60"/>
    <w:rsid w:val="624D2CC1"/>
    <w:rsid w:val="65A21B90"/>
    <w:rsid w:val="67013952"/>
    <w:rsid w:val="68151BC0"/>
    <w:rsid w:val="69593A28"/>
    <w:rsid w:val="69851839"/>
    <w:rsid w:val="6B8643CC"/>
    <w:rsid w:val="6D50180A"/>
    <w:rsid w:val="6D727BF4"/>
    <w:rsid w:val="6DFF2559"/>
    <w:rsid w:val="6E3FDCF5"/>
    <w:rsid w:val="6EB56A95"/>
    <w:rsid w:val="6F65082A"/>
    <w:rsid w:val="6F7467DA"/>
    <w:rsid w:val="707F1E35"/>
    <w:rsid w:val="73345583"/>
    <w:rsid w:val="7408242F"/>
    <w:rsid w:val="74C905BD"/>
    <w:rsid w:val="75CE005C"/>
    <w:rsid w:val="771E3B7D"/>
    <w:rsid w:val="778D1617"/>
    <w:rsid w:val="77935776"/>
    <w:rsid w:val="7794624B"/>
    <w:rsid w:val="77EA65DA"/>
    <w:rsid w:val="78FC5B3A"/>
    <w:rsid w:val="7BF750DB"/>
    <w:rsid w:val="7EDA3F3A"/>
    <w:rsid w:val="7FB95930"/>
    <w:rsid w:val="7FC04A18"/>
    <w:rsid w:val="BB7B1D15"/>
    <w:rsid w:val="D7DCB59F"/>
    <w:rsid w:val="EEBB6C96"/>
    <w:rsid w:val="FDDDE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196"/>
      <w:outlineLvl w:val="0"/>
    </w:pPr>
    <w:rPr>
      <w:rFonts w:ascii="宋体" w:hAnsi="宋体" w:eastAsia="宋体"/>
      <w:sz w:val="52"/>
      <w:szCs w:val="52"/>
    </w:rPr>
  </w:style>
  <w:style w:type="paragraph" w:styleId="3">
    <w:name w:val="heading 2"/>
    <w:basedOn w:val="1"/>
    <w:next w:val="1"/>
    <w:qFormat/>
    <w:uiPriority w:val="1"/>
    <w:pPr>
      <w:ind w:left="235"/>
      <w:outlineLvl w:val="1"/>
    </w:pPr>
    <w:rPr>
      <w:rFonts w:ascii="Microsoft JhengHei" w:hAnsi="Microsoft JhengHei" w:eastAsia="Microsoft JhengHei"/>
      <w:b/>
      <w:bCs/>
      <w:sz w:val="21"/>
      <w:szCs w:val="21"/>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style>
  <w:style w:type="paragraph" w:styleId="5">
    <w:name w:val="Body Text"/>
    <w:basedOn w:val="1"/>
    <w:qFormat/>
    <w:uiPriority w:val="1"/>
    <w:pPr>
      <w:ind w:left="115"/>
    </w:pPr>
    <w:rPr>
      <w:rFonts w:ascii="宋体" w:hAnsi="宋体" w:eastAsia="宋体"/>
      <w:sz w:val="21"/>
      <w:szCs w:val="21"/>
    </w:rPr>
  </w:style>
  <w:style w:type="paragraph" w:styleId="6">
    <w:name w:val="Plain Text"/>
    <w:basedOn w:val="1"/>
    <w:qFormat/>
    <w:uiPriority w:val="99"/>
    <w:rPr>
      <w:rFonts w:ascii="宋体" w:hAnsi="Courier New"/>
      <w:sz w:val="20"/>
      <w:szCs w:val="20"/>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Table Theme"/>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widowControl/>
      <w:jc w:val="center"/>
    </w:pPr>
    <w:rPr>
      <w:rFonts w:ascii="宋体" w:hAnsi="宋体" w:eastAsia="宋体" w:cs="宋体"/>
      <w:sz w:val="21"/>
      <w:szCs w:val="21"/>
      <w:lang w:eastAsia="zh-CN"/>
    </w:rPr>
  </w:style>
  <w:style w:type="paragraph" w:customStyle="1" w:styleId="16">
    <w:name w:val="Table Paragraph"/>
    <w:basedOn w:val="1"/>
    <w:qFormat/>
    <w:uiPriority w:val="1"/>
  </w:style>
  <w:style w:type="paragraph" w:customStyle="1" w:styleId="17">
    <w:name w:val="Default"/>
    <w:qFormat/>
    <w:uiPriority w:val="0"/>
    <w:pPr>
      <w:widowControl w:val="0"/>
      <w:autoSpaceDE w:val="0"/>
      <w:autoSpaceDN w:val="0"/>
    </w:pPr>
    <w:rPr>
      <w:rFonts w:hint="eastAsia" w:ascii="Arial" w:hAnsi="Arial" w:eastAsia="Arial" w:cs="Times New Roman"/>
      <w:color w:val="000000"/>
      <w:sz w:val="24"/>
      <w:lang w:val="en-US" w:eastAsia="zh-CN" w:bidi="ar-SA"/>
    </w:rPr>
  </w:style>
  <w:style w:type="paragraph" w:customStyle="1" w:styleId="18">
    <w:name w:val="肥料正文"/>
    <w:basedOn w:val="1"/>
    <w:qFormat/>
    <w:uiPriority w:val="0"/>
    <w:pPr>
      <w:adjustRightInd w:val="0"/>
      <w:snapToGrid w:val="0"/>
      <w:spacing w:line="317" w:lineRule="auto"/>
      <w:ind w:firstLine="200" w:firstLineChars="200"/>
    </w:pPr>
    <w:rPr>
      <w:rFonts w:eastAsia="汉鼎简书宋二"/>
      <w:snapToGrid w:val="0"/>
      <w:spacing w:val="2"/>
    </w:rPr>
  </w:style>
  <w:style w:type="paragraph" w:customStyle="1" w:styleId="19">
    <w:name w:val="列项·"/>
    <w:qFormat/>
    <w:uiPriority w:val="99"/>
    <w:pPr>
      <w:tabs>
        <w:tab w:val="left" w:pos="840"/>
      </w:tabs>
      <w:ind w:left="42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1573</Words>
  <Characters>2213</Characters>
  <Lines>16</Lines>
  <Paragraphs>4</Paragraphs>
  <TotalTime>15</TotalTime>
  <ScaleCrop>false</ScaleCrop>
  <LinksUpToDate>false</LinksUpToDate>
  <CharactersWithSpaces>2294</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2019-02-18T12:53:00Z</dcterms:created>
  <dc:creator>微软用户</dc:creator>
  <cp:lastModifiedBy>ysgz</cp:lastModifiedBy>
  <cp:lastPrinted>2023-07-07T18:06:00Z</cp:lastPrinted>
  <dcterms:modified xsi:type="dcterms:W3CDTF">2026-04-20T16:55:39Z</dcterms:modified>
  <dc:title>工业黄磷产品质量监督抽查实施细则</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2013-05-09T00:00:00Z</vt:filetime>
  </property>
  <property fmtid="{D5CDD505-2E9C-101B-9397-08002B2CF9AE}" pid="3" name="Creator">
    <vt:lpwstr>WPS Office 个人版</vt:lpwstr>
  </property>
  <property fmtid="{D5CDD505-2E9C-101B-9397-08002B2CF9AE}" pid="4" name="LastSaved">
    <vt:filetime>2019-02-15T00:00:00Z</vt:filetime>
  </property>
  <property fmtid="{D5CDD505-2E9C-101B-9397-08002B2CF9AE}" pid="5" name="KSOProductBuildVer">
    <vt:lpwstr>2052-11.8.2.10624</vt:lpwstr>
  </property>
  <property fmtid="{D5CDD505-2E9C-101B-9397-08002B2CF9AE}" pid="6" name="ICV">
    <vt:lpwstr>728393D9E23B420DA154045A36C10359_13</vt:lpwstr>
  </property>
  <property fmtid="{D5CDD505-2E9C-101B-9397-08002B2CF9AE}" pid="7" name="KSOTemplateDocerSaveRecord">
    <vt:lpwstr>eyJoZGlkIjoiYzNjY2JmMjNlMDllNWU1MDA5OTIxN2JjZTI4MjBkZTMiLCJ1c2VySWQiOiI0MDIwOTUwNjUifQ==</vt:lpwstr>
  </property>
</Properties>
</file>